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36" w:rsidRPr="00AE3820" w:rsidRDefault="00B74C36" w:rsidP="00AE3820">
      <w:pPr>
        <w:tabs>
          <w:tab w:val="left" w:pos="3402"/>
        </w:tabs>
        <w:spacing w:line="240" w:lineRule="auto"/>
        <w:ind w:left="3969" w:hanging="567"/>
        <w:rPr>
          <w:rFonts w:ascii="Times New Roman" w:hAnsi="Times New Roman" w:cs="Times New Roman"/>
          <w:b/>
          <w:bCs/>
          <w:szCs w:val="24"/>
        </w:rPr>
      </w:pPr>
      <w:r w:rsidRPr="00AE3820">
        <w:rPr>
          <w:rFonts w:ascii="Times New Roman" w:hAnsi="Times New Roman" w:cs="Times New Roman"/>
          <w:b/>
          <w:bCs/>
          <w:szCs w:val="24"/>
        </w:rPr>
        <w:t xml:space="preserve">LEI N.º </w:t>
      </w:r>
      <w:r w:rsidR="0096160F" w:rsidRPr="00AE3820">
        <w:rPr>
          <w:rFonts w:ascii="Times New Roman" w:hAnsi="Times New Roman" w:cs="Times New Roman"/>
          <w:b/>
          <w:bCs/>
          <w:szCs w:val="24"/>
        </w:rPr>
        <w:t>74</w:t>
      </w:r>
      <w:r w:rsidR="00AE3820" w:rsidRPr="00AE3820">
        <w:rPr>
          <w:rFonts w:ascii="Times New Roman" w:hAnsi="Times New Roman" w:cs="Times New Roman"/>
          <w:b/>
          <w:bCs/>
          <w:szCs w:val="24"/>
        </w:rPr>
        <w:t>8</w:t>
      </w:r>
      <w:r w:rsidR="00972C9A" w:rsidRPr="00AE3820">
        <w:rPr>
          <w:rFonts w:ascii="Times New Roman" w:hAnsi="Times New Roman" w:cs="Times New Roman"/>
          <w:b/>
          <w:bCs/>
          <w:szCs w:val="24"/>
        </w:rPr>
        <w:t>/2019</w:t>
      </w:r>
    </w:p>
    <w:p w:rsidR="00B74C36" w:rsidRPr="00AE3820" w:rsidRDefault="00B74C36" w:rsidP="00AE3820">
      <w:pPr>
        <w:spacing w:line="240" w:lineRule="auto"/>
        <w:ind w:left="3402" w:firstLine="0"/>
        <w:rPr>
          <w:rFonts w:ascii="Times New Roman" w:hAnsi="Times New Roman" w:cs="Times New Roman"/>
          <w:b/>
          <w:bCs/>
          <w:szCs w:val="24"/>
        </w:rPr>
      </w:pPr>
      <w:r w:rsidRPr="00AE3820">
        <w:rPr>
          <w:rFonts w:ascii="Times New Roman" w:hAnsi="Times New Roman" w:cs="Times New Roman"/>
          <w:b/>
          <w:bCs/>
          <w:szCs w:val="24"/>
        </w:rPr>
        <w:t xml:space="preserve">DE: </w:t>
      </w:r>
      <w:r w:rsidR="00AE3820" w:rsidRPr="00AE3820">
        <w:rPr>
          <w:rFonts w:ascii="Times New Roman" w:hAnsi="Times New Roman" w:cs="Times New Roman"/>
          <w:b/>
          <w:szCs w:val="24"/>
        </w:rPr>
        <w:t>27</w:t>
      </w:r>
      <w:r w:rsidR="004959CF" w:rsidRPr="00AE3820">
        <w:rPr>
          <w:rFonts w:ascii="Times New Roman" w:hAnsi="Times New Roman" w:cs="Times New Roman"/>
          <w:b/>
          <w:szCs w:val="24"/>
        </w:rPr>
        <w:t xml:space="preserve"> DE </w:t>
      </w:r>
      <w:r w:rsidR="00595674" w:rsidRPr="00AE3820">
        <w:rPr>
          <w:rFonts w:ascii="Times New Roman" w:hAnsi="Times New Roman" w:cs="Times New Roman"/>
          <w:b/>
          <w:szCs w:val="24"/>
        </w:rPr>
        <w:t>DEZEMBRO</w:t>
      </w:r>
      <w:r w:rsidR="00875E67" w:rsidRPr="00AE3820">
        <w:rPr>
          <w:rFonts w:ascii="Times New Roman" w:hAnsi="Times New Roman" w:cs="Times New Roman"/>
          <w:b/>
          <w:szCs w:val="24"/>
        </w:rPr>
        <w:t xml:space="preserve"> DE 2019</w:t>
      </w:r>
      <w:r w:rsidR="00387B22" w:rsidRPr="00AE3820">
        <w:rPr>
          <w:rFonts w:ascii="Times New Roman" w:hAnsi="Times New Roman" w:cs="Times New Roman"/>
          <w:b/>
          <w:szCs w:val="24"/>
        </w:rPr>
        <w:t>.</w:t>
      </w:r>
    </w:p>
    <w:p w:rsidR="005478ED" w:rsidRPr="00AE3820" w:rsidRDefault="005478ED" w:rsidP="00570D0C">
      <w:pPr>
        <w:spacing w:after="0" w:line="240" w:lineRule="auto"/>
        <w:ind w:left="3969" w:firstLine="0"/>
        <w:rPr>
          <w:rFonts w:ascii="Times New Roman" w:hAnsi="Times New Roman" w:cs="Times New Roman"/>
          <w:szCs w:val="24"/>
        </w:rPr>
      </w:pPr>
    </w:p>
    <w:p w:rsidR="00AE3820" w:rsidRPr="00AE3820" w:rsidRDefault="00AE3820" w:rsidP="00AE3820">
      <w:pPr>
        <w:pStyle w:val="Recuodecorpodetexto"/>
        <w:spacing w:line="276" w:lineRule="auto"/>
        <w:ind w:left="3402" w:firstLine="0"/>
        <w:rPr>
          <w:rFonts w:ascii="Times New Roman" w:hAnsi="Times New Roman" w:cs="Times New Roman"/>
          <w:b/>
          <w:bCs/>
          <w:i/>
          <w:szCs w:val="24"/>
        </w:rPr>
      </w:pPr>
      <w:r w:rsidRPr="00AE3820">
        <w:rPr>
          <w:rFonts w:ascii="Times New Roman" w:hAnsi="Times New Roman" w:cs="Times New Roman"/>
          <w:b/>
          <w:bCs/>
          <w:i/>
          <w:szCs w:val="24"/>
        </w:rPr>
        <w:t>DISPÕE SOBRE AS DIRETRIZES ORÇAMENTÁRIAS PARA ELABORAÇÃO DA LEI ORÇAMENTÁRIA DE 2020, E DÁ OUTRAS PROVIDÊNCIAS.</w:t>
      </w:r>
    </w:p>
    <w:p w:rsidR="00AE3820" w:rsidRPr="00AE3820" w:rsidRDefault="00AE3820" w:rsidP="00AE3820">
      <w:pPr>
        <w:spacing w:line="360" w:lineRule="auto"/>
        <w:ind w:firstLine="3402"/>
        <w:rPr>
          <w:rFonts w:ascii="Times New Roman" w:hAnsi="Times New Roman" w:cs="Times New Roman"/>
          <w:bCs/>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Cs/>
          <w:szCs w:val="24"/>
        </w:rPr>
        <w:t>O PREFEITO MUNICIPAL DE SANTO ANTONIO DO LESTE, ESTADO DE MATO GROSSO,</w:t>
      </w:r>
      <w:r w:rsidRPr="00AE3820">
        <w:rPr>
          <w:rFonts w:ascii="Times New Roman" w:hAnsi="Times New Roman" w:cs="Times New Roman"/>
          <w:b/>
          <w:szCs w:val="24"/>
        </w:rPr>
        <w:t xml:space="preserve"> MIGUEL JOSÉ BRUNETTA</w:t>
      </w:r>
      <w:r w:rsidRPr="00AE3820">
        <w:rPr>
          <w:rFonts w:ascii="Times New Roman" w:hAnsi="Times New Roman" w:cs="Times New Roman"/>
          <w:bCs/>
          <w:szCs w:val="24"/>
        </w:rPr>
        <w:t>,</w:t>
      </w:r>
      <w:r w:rsidRPr="00AE3820">
        <w:rPr>
          <w:rFonts w:ascii="Times New Roman" w:hAnsi="Times New Roman" w:cs="Times New Roman"/>
          <w:b/>
          <w:szCs w:val="24"/>
        </w:rPr>
        <w:t xml:space="preserve"> </w:t>
      </w:r>
      <w:r w:rsidRPr="00AE3820">
        <w:rPr>
          <w:rFonts w:ascii="Times New Roman" w:hAnsi="Times New Roman" w:cs="Times New Roman"/>
          <w:szCs w:val="24"/>
        </w:rPr>
        <w:t xml:space="preserve">faz saber que a Câmara Municipal </w:t>
      </w:r>
      <w:r w:rsidRPr="00AE3820">
        <w:rPr>
          <w:rFonts w:ascii="Times New Roman" w:hAnsi="Times New Roman" w:cs="Times New Roman"/>
          <w:b/>
          <w:szCs w:val="24"/>
        </w:rPr>
        <w:t>aprovou</w:t>
      </w:r>
      <w:r w:rsidRPr="00AE3820">
        <w:rPr>
          <w:rFonts w:ascii="Times New Roman" w:hAnsi="Times New Roman" w:cs="Times New Roman"/>
          <w:szCs w:val="24"/>
        </w:rPr>
        <w:t xml:space="preserve"> e ela </w:t>
      </w:r>
      <w:r w:rsidRPr="00AE3820">
        <w:rPr>
          <w:rFonts w:ascii="Times New Roman" w:hAnsi="Times New Roman" w:cs="Times New Roman"/>
          <w:b/>
          <w:szCs w:val="24"/>
        </w:rPr>
        <w:t>sanciona</w:t>
      </w:r>
      <w:r w:rsidRPr="00AE3820">
        <w:rPr>
          <w:rFonts w:ascii="Times New Roman" w:hAnsi="Times New Roman" w:cs="Times New Roman"/>
          <w:szCs w:val="24"/>
        </w:rPr>
        <w:t xml:space="preserve"> a seguinte Lei </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pStyle w:val="Ttulo2"/>
        <w:spacing w:line="360" w:lineRule="auto"/>
        <w:rPr>
          <w:szCs w:val="24"/>
        </w:rPr>
      </w:pPr>
      <w:r w:rsidRPr="00AE3820">
        <w:rPr>
          <w:szCs w:val="24"/>
        </w:rPr>
        <w:t xml:space="preserve">   DISPOSIÇÃO PRELIMINAR</w:t>
      </w:r>
    </w:p>
    <w:p w:rsidR="00AE3820" w:rsidRPr="00AE3820" w:rsidRDefault="00AE3820" w:rsidP="00AE3820">
      <w:pPr>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1º</w:t>
      </w:r>
      <w:r w:rsidRPr="00AE3820">
        <w:rPr>
          <w:rFonts w:ascii="Times New Roman" w:hAnsi="Times New Roman" w:cs="Times New Roman"/>
          <w:szCs w:val="24"/>
        </w:rPr>
        <w:t xml:space="preserve"> - Ficam estabelecidas, em conformidade com o disposto no art. 165, § 2º, da Constituição da República, as diretrizes orçamentárias do Município de Santo Antonio do leste - MT para o Exercício Financeiro de 2020, compreendendo:</w:t>
      </w:r>
    </w:p>
    <w:p w:rsidR="00AE3820" w:rsidRPr="00AE3820" w:rsidRDefault="00AE3820" w:rsidP="00AE3820">
      <w:pPr>
        <w:spacing w:line="360" w:lineRule="auto"/>
        <w:ind w:firstLine="1440"/>
        <w:rPr>
          <w:rFonts w:ascii="Times New Roman" w:hAnsi="Times New Roman" w:cs="Times New Roman"/>
          <w:szCs w:val="24"/>
        </w:rPr>
      </w:pP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w:t>
      </w:r>
      <w:r w:rsidRPr="00AE3820">
        <w:rPr>
          <w:rFonts w:ascii="Times New Roman" w:hAnsi="Times New Roman" w:cs="Times New Roman"/>
          <w:szCs w:val="24"/>
        </w:rPr>
        <w:t xml:space="preserve"> - as metas fiscais;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II</w:t>
      </w:r>
      <w:r w:rsidRPr="00AE3820">
        <w:rPr>
          <w:rFonts w:ascii="Times New Roman" w:hAnsi="Times New Roman" w:cs="Times New Roman"/>
          <w:szCs w:val="24"/>
        </w:rPr>
        <w:t xml:space="preserve"> - as prioridades da administração municipal;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III</w:t>
      </w:r>
      <w:r w:rsidRPr="00AE3820">
        <w:rPr>
          <w:rFonts w:ascii="Times New Roman" w:hAnsi="Times New Roman" w:cs="Times New Roman"/>
          <w:szCs w:val="24"/>
        </w:rPr>
        <w:t xml:space="preserve"> - a estrutura e organização dos orçamentos;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IV </w:t>
      </w:r>
      <w:r w:rsidRPr="00AE3820">
        <w:rPr>
          <w:rFonts w:ascii="Times New Roman" w:hAnsi="Times New Roman" w:cs="Times New Roman"/>
          <w:szCs w:val="24"/>
        </w:rPr>
        <w:t>- as diretrizes para a elaboração e execução do orçamento do Município e suas alterações;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w:t>
      </w:r>
      <w:r w:rsidRPr="00AE3820">
        <w:rPr>
          <w:rFonts w:ascii="Times New Roman" w:hAnsi="Times New Roman" w:cs="Times New Roman"/>
          <w:szCs w:val="24"/>
        </w:rPr>
        <w:t xml:space="preserve"> - as disposições sobre a divida pública municipal;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VI</w:t>
      </w:r>
      <w:r w:rsidRPr="00AE3820">
        <w:rPr>
          <w:rFonts w:ascii="Times New Roman" w:hAnsi="Times New Roman" w:cs="Times New Roman"/>
          <w:szCs w:val="24"/>
        </w:rPr>
        <w:t xml:space="preserve"> - as disposições relativas às despesas municipais com pessoal e encargos sociais;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VII</w:t>
      </w:r>
      <w:r w:rsidRPr="00AE3820">
        <w:rPr>
          <w:rFonts w:ascii="Times New Roman" w:hAnsi="Times New Roman" w:cs="Times New Roman"/>
          <w:szCs w:val="24"/>
        </w:rPr>
        <w:t xml:space="preserve"> - as disposições sobre alterações na legislação tributária municipal;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VIII</w:t>
      </w:r>
      <w:r w:rsidRPr="00AE3820">
        <w:rPr>
          <w:rFonts w:ascii="Times New Roman" w:hAnsi="Times New Roman" w:cs="Times New Roman"/>
          <w:szCs w:val="24"/>
        </w:rPr>
        <w:t xml:space="preserve"> - as disposições gerais. </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jc w:val="center"/>
        <w:outlineLvl w:val="0"/>
        <w:rPr>
          <w:rFonts w:ascii="Times New Roman" w:hAnsi="Times New Roman" w:cs="Times New Roman"/>
          <w:b/>
          <w:szCs w:val="24"/>
        </w:rPr>
      </w:pPr>
      <w:r w:rsidRPr="00AE3820">
        <w:rPr>
          <w:rFonts w:ascii="Times New Roman" w:hAnsi="Times New Roman" w:cs="Times New Roman"/>
          <w:b/>
          <w:szCs w:val="24"/>
        </w:rPr>
        <w:t>CAPITULO I</w:t>
      </w:r>
    </w:p>
    <w:p w:rsidR="00AE3820" w:rsidRPr="00AE3820" w:rsidRDefault="00AE3820" w:rsidP="00AE3820">
      <w:pPr>
        <w:spacing w:line="360" w:lineRule="auto"/>
        <w:jc w:val="center"/>
        <w:outlineLvl w:val="0"/>
        <w:rPr>
          <w:rFonts w:ascii="Times New Roman" w:hAnsi="Times New Roman" w:cs="Times New Roman"/>
          <w:b/>
          <w:szCs w:val="24"/>
        </w:rPr>
      </w:pPr>
    </w:p>
    <w:p w:rsidR="00AE3820" w:rsidRPr="00AE3820" w:rsidRDefault="00AE3820" w:rsidP="00AE3820">
      <w:pPr>
        <w:pStyle w:val="Ttulo9"/>
        <w:rPr>
          <w:rFonts w:ascii="Times New Roman" w:hAnsi="Times New Roman" w:cs="Times New Roman"/>
          <w:sz w:val="24"/>
        </w:rPr>
      </w:pPr>
      <w:r w:rsidRPr="00AE3820">
        <w:rPr>
          <w:rFonts w:ascii="Times New Roman" w:hAnsi="Times New Roman" w:cs="Times New Roman"/>
          <w:sz w:val="24"/>
        </w:rPr>
        <w:lastRenderedPageBreak/>
        <w:t xml:space="preserve">I - DAS METAS FISCAIS </w:t>
      </w:r>
    </w:p>
    <w:p w:rsidR="00AE3820" w:rsidRPr="00AE3820" w:rsidRDefault="00AE3820" w:rsidP="00AE3820">
      <w:pPr>
        <w:rPr>
          <w:rFonts w:ascii="Times New Roman" w:hAnsi="Times New Roman" w:cs="Times New Roman"/>
          <w:szCs w:val="24"/>
        </w:rPr>
      </w:pPr>
    </w:p>
    <w:p w:rsidR="00AE3820" w:rsidRPr="00AE3820" w:rsidRDefault="00AE3820" w:rsidP="00AE3820">
      <w:pPr>
        <w:pStyle w:val="Ttulo2"/>
        <w:tabs>
          <w:tab w:val="left" w:pos="2880"/>
        </w:tabs>
        <w:spacing w:line="360" w:lineRule="auto"/>
        <w:ind w:firstLine="3402"/>
        <w:jc w:val="both"/>
        <w:rPr>
          <w:b w:val="0"/>
          <w:szCs w:val="24"/>
        </w:rPr>
      </w:pPr>
      <w:r w:rsidRPr="00AE3820">
        <w:rPr>
          <w:bCs/>
          <w:szCs w:val="24"/>
        </w:rPr>
        <w:t>Art. 2º</w:t>
      </w:r>
      <w:r w:rsidRPr="00AE3820">
        <w:rPr>
          <w:szCs w:val="24"/>
        </w:rPr>
        <w:t xml:space="preserve"> - </w:t>
      </w:r>
      <w:r w:rsidRPr="00AE3820">
        <w:rPr>
          <w:b w:val="0"/>
          <w:szCs w:val="24"/>
        </w:rPr>
        <w:t>Em cumprimento ao estabelecido no artigo 4º da Lei Complementar nº 101, de 4 de maio de 2000, as metas fiscais de receitas, despesas, resultado primário, nominal e montante da dívida pública para o exercício financeiro de 2020, estão identificados nos Demonstrativos I a VIII desta Lei, em conformidade com a Portaria nº 575, de 30 de agosto de 2007-STN.</w:t>
      </w:r>
    </w:p>
    <w:p w:rsidR="00AE3820" w:rsidRPr="00AE3820" w:rsidRDefault="00AE3820" w:rsidP="00AE3820">
      <w:pPr>
        <w:rPr>
          <w:rFonts w:ascii="Times New Roman" w:hAnsi="Times New Roman" w:cs="Times New Roman"/>
          <w:szCs w:val="24"/>
        </w:rPr>
      </w:pPr>
    </w:p>
    <w:p w:rsidR="00AE3820" w:rsidRPr="00AE3820" w:rsidRDefault="00AE3820" w:rsidP="00AE3820">
      <w:pPr>
        <w:tabs>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3º</w:t>
      </w:r>
      <w:r w:rsidRPr="00AE3820">
        <w:rPr>
          <w:rFonts w:ascii="Times New Roman" w:hAnsi="Times New Roman" w:cs="Times New Roman"/>
          <w:szCs w:val="24"/>
        </w:rPr>
        <w:t xml:space="preserve"> - A Lei Orçamentária Anual abrangerá o Órgão da Administração Direta, e suas Unidades Orçamentárias que recebem recursos do Orçamento Fiscal e da Seguridade Social.</w:t>
      </w:r>
    </w:p>
    <w:p w:rsidR="00AE3820" w:rsidRPr="00AE3820" w:rsidRDefault="00AE3820" w:rsidP="00AE3820">
      <w:pPr>
        <w:tabs>
          <w:tab w:val="left" w:pos="2880"/>
        </w:tabs>
        <w:spacing w:line="360" w:lineRule="auto"/>
        <w:rPr>
          <w:rFonts w:ascii="Times New Roman" w:hAnsi="Times New Roman" w:cs="Times New Roman"/>
          <w:szCs w:val="24"/>
        </w:rPr>
      </w:pPr>
    </w:p>
    <w:p w:rsidR="00AE3820" w:rsidRPr="00AE3820" w:rsidRDefault="00AE3820" w:rsidP="00AE3820">
      <w:pPr>
        <w:tabs>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4 º</w:t>
      </w:r>
      <w:r w:rsidRPr="00AE3820">
        <w:rPr>
          <w:rFonts w:ascii="Times New Roman" w:hAnsi="Times New Roman" w:cs="Times New Roman"/>
          <w:szCs w:val="24"/>
        </w:rPr>
        <w:t xml:space="preserve"> - Os Anexos de Metas Fiscais referidos no Art. 2º desta Lei constitui-se dos seguintes:</w:t>
      </w:r>
    </w:p>
    <w:p w:rsidR="00AE3820" w:rsidRPr="00AE3820" w:rsidRDefault="00AE3820" w:rsidP="00AE3820">
      <w:pPr>
        <w:tabs>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54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Demonstrativo I - Metas Anuais;</w:t>
      </w:r>
    </w:p>
    <w:p w:rsidR="00AE3820" w:rsidRPr="00AE3820" w:rsidRDefault="00AE3820" w:rsidP="00AE3820">
      <w:pPr>
        <w:tabs>
          <w:tab w:val="left" w:pos="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Demonstrativo II - Avaliação do Cumprimento das Metas Fiscais do Exercício Anterior;</w:t>
      </w:r>
    </w:p>
    <w:p w:rsidR="00AE3820" w:rsidRPr="00AE3820" w:rsidRDefault="00AE3820" w:rsidP="00AE3820">
      <w:pPr>
        <w:tabs>
          <w:tab w:val="left" w:pos="0"/>
          <w:tab w:val="left" w:pos="72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 xml:space="preserve">Demonstrativo III - </w:t>
      </w:r>
      <w:r w:rsidRPr="00AE3820">
        <w:rPr>
          <w:rFonts w:ascii="Times New Roman" w:hAnsi="Times New Roman" w:cs="Times New Roman"/>
          <w:szCs w:val="24"/>
        </w:rPr>
        <w:tab/>
        <w:t>Metas Fiscais Atuais Comparadas com as Metas Fiscais Fixadas nos Três Exercícios Anteriores;</w:t>
      </w:r>
    </w:p>
    <w:p w:rsidR="00AE3820" w:rsidRPr="00AE3820" w:rsidRDefault="00AE3820" w:rsidP="00AE3820">
      <w:pPr>
        <w:tabs>
          <w:tab w:val="left" w:pos="0"/>
          <w:tab w:val="left" w:pos="54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Demonstrativo IV - Evolução do Patrimônio Líquido;</w:t>
      </w:r>
    </w:p>
    <w:p w:rsidR="00AE3820" w:rsidRPr="00AE3820" w:rsidRDefault="00AE3820" w:rsidP="00AE3820">
      <w:pPr>
        <w:tabs>
          <w:tab w:val="left" w:pos="0"/>
          <w:tab w:val="left" w:pos="54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Demonstrativo V - Origem e Aplicação dos Recursos Obtidos com a Alienação de Ativos;</w:t>
      </w:r>
    </w:p>
    <w:p w:rsidR="00AE3820" w:rsidRPr="00AE3820" w:rsidRDefault="00AE3820" w:rsidP="00AE3820">
      <w:pPr>
        <w:tabs>
          <w:tab w:val="left" w:pos="0"/>
          <w:tab w:val="left" w:pos="54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Demonstrativo VI - Receitas e Despesas Previdenciárias do RPPS;</w:t>
      </w:r>
    </w:p>
    <w:p w:rsidR="00AE3820" w:rsidRPr="00AE3820" w:rsidRDefault="00AE3820" w:rsidP="00AE3820">
      <w:pPr>
        <w:tabs>
          <w:tab w:val="left" w:pos="0"/>
          <w:tab w:val="left" w:pos="54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 xml:space="preserve">Demonstrativo VII - Estimativa e Compensação da Renúncia de Receita; e </w:t>
      </w:r>
    </w:p>
    <w:p w:rsidR="00AE3820" w:rsidRPr="00AE3820" w:rsidRDefault="00AE3820" w:rsidP="00AE3820">
      <w:pPr>
        <w:tabs>
          <w:tab w:val="left" w:pos="0"/>
          <w:tab w:val="left" w:pos="360"/>
          <w:tab w:val="left" w:pos="1980"/>
          <w:tab w:val="left" w:pos="2160"/>
        </w:tabs>
        <w:spacing w:line="360" w:lineRule="auto"/>
        <w:rPr>
          <w:rFonts w:ascii="Times New Roman" w:hAnsi="Times New Roman" w:cs="Times New Roman"/>
          <w:szCs w:val="24"/>
        </w:rPr>
      </w:pPr>
      <w:r w:rsidRPr="00AE3820">
        <w:rPr>
          <w:rFonts w:ascii="Times New Roman" w:hAnsi="Times New Roman" w:cs="Times New Roman"/>
          <w:szCs w:val="24"/>
        </w:rPr>
        <w:t>Demonstrativo VIII</w:t>
      </w:r>
      <w:r w:rsidRPr="00AE3820">
        <w:rPr>
          <w:rFonts w:ascii="Times New Roman" w:hAnsi="Times New Roman" w:cs="Times New Roman"/>
          <w:szCs w:val="24"/>
        </w:rPr>
        <w:tab/>
        <w:t>- Margem de Expansão das Despesas Obrigatórias de Caráter Continuado.</w:t>
      </w:r>
    </w:p>
    <w:p w:rsidR="00AE3820" w:rsidRPr="00AE3820" w:rsidRDefault="00AE3820" w:rsidP="00AE3820">
      <w:pPr>
        <w:tabs>
          <w:tab w:val="left" w:pos="0"/>
          <w:tab w:val="left" w:pos="360"/>
          <w:tab w:val="left" w:pos="1980"/>
          <w:tab w:val="left" w:pos="216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Os Demonstrativos referidos neste artigo são apurados em cada Unidade Orçamentária consolidando-as que constituirão as Metas Fiscais do Município.  </w:t>
      </w:r>
    </w:p>
    <w:p w:rsidR="00AE3820" w:rsidRPr="00AE3820" w:rsidRDefault="00AE3820" w:rsidP="00AE3820">
      <w:pPr>
        <w:pStyle w:val="Ttulo2"/>
        <w:tabs>
          <w:tab w:val="left" w:pos="0"/>
          <w:tab w:val="left" w:pos="2880"/>
        </w:tabs>
        <w:spacing w:line="360" w:lineRule="auto"/>
        <w:rPr>
          <w:szCs w:val="24"/>
        </w:rPr>
      </w:pPr>
      <w:r w:rsidRPr="00AE3820">
        <w:rPr>
          <w:szCs w:val="24"/>
        </w:rPr>
        <w:lastRenderedPageBreak/>
        <w:t>METAS ANUAIS</w:t>
      </w:r>
    </w:p>
    <w:p w:rsidR="00AE3820" w:rsidRPr="00AE3820" w:rsidRDefault="00AE3820" w:rsidP="00AE3820">
      <w:pPr>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5º </w:t>
      </w:r>
      <w:r w:rsidRPr="00AE3820">
        <w:rPr>
          <w:rFonts w:ascii="Times New Roman" w:hAnsi="Times New Roman" w:cs="Times New Roman"/>
          <w:szCs w:val="24"/>
        </w:rPr>
        <w:t>- Em cumprimento ao § 1º, do art. 4º, da Lei de Responsabilidade Fiscal - LRF, o Demonstrativo I - Metas Anuais são elaborados em valores Correntes e Constantes, relativos a Receitas, Despesas, Resultado Primário e Nominal e Montante da Dívida Pública, para o Exercício Financeiro de 2020 e para os dois seguintes.</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1º</w:t>
      </w:r>
      <w:r w:rsidRPr="00AE3820">
        <w:rPr>
          <w:rFonts w:ascii="Times New Roman" w:hAnsi="Times New Roman" w:cs="Times New Roman"/>
          <w:szCs w:val="24"/>
        </w:rPr>
        <w:t xml:space="preserve"> - Os valores correntes dos exercícios financeiros de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575/2007 da STN.</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2º</w:t>
      </w:r>
      <w:r w:rsidRPr="00AE3820">
        <w:rPr>
          <w:rFonts w:ascii="Times New Roman" w:hAnsi="Times New Roman" w:cs="Times New Roman"/>
          <w:szCs w:val="24"/>
        </w:rPr>
        <w:t xml:space="preserve"> - Os valores da coluna "% PIB" são calculados mediante a aplicação do cálculo dos valores correntes, divididos pelo PIB Estadual, multiplicados por 100.</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AVALIAÇÃO DO CUMPRIMENTO DAS METAS FISCAIS DO EXERCÍCIO ANTERIOR</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6º</w:t>
      </w:r>
      <w:r w:rsidRPr="00AE3820">
        <w:rPr>
          <w:rFonts w:ascii="Times New Roman" w:hAnsi="Times New Roman" w:cs="Times New Roman"/>
          <w:szCs w:val="24"/>
        </w:rPr>
        <w:t xml:space="preserve"> - 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Receitas, Despesas, Resultado Primário e Nominal, Dívida Pública Consolidada e Dívida Consolidada Líquida, incluindo análise dos fatores determinantes do alcance ou não dos valores estabelecidos como metas.</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lastRenderedPageBreak/>
        <w:t>METAS FISCAIS ATUAIS COMPARADAS COM AS FIXADAS NOS TRÊS EXERCÍCIOS ANTERIORES</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Art.7º</w:t>
      </w:r>
      <w:r w:rsidRPr="00AE3820">
        <w:rPr>
          <w:rFonts w:ascii="Times New Roman" w:hAnsi="Times New Roman" w:cs="Times New Roman"/>
          <w:szCs w:val="24"/>
        </w:rPr>
        <w:t xml:space="preserve"> - De acordo com o § 2º, item II, do Art. 4º da LRF, o Demonstrativo III - Metas Fiscais Atuais Comparadas com as Fixadas nos Três Exercícios Anteriores de Receitas, Despesas, Resultado Primário e Nominal, Dívida Pública Consolidada e Dívida Consolidada Líquida, estão instruídos com memória e metodologia de cálculo que justifica os resultados pretendidos, comparando-as com as fixadas nos três exercícios anteriores e evidenciando a consistência delas com as premissas e os objetivos da Política Econômica Nacional.</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szCs w:val="24"/>
        </w:rPr>
        <w:t>§</w:t>
      </w:r>
      <w:r w:rsidRPr="00AE3820">
        <w:rPr>
          <w:rFonts w:ascii="Times New Roman" w:hAnsi="Times New Roman" w:cs="Times New Roman"/>
          <w:b/>
          <w:bCs/>
          <w:szCs w:val="24"/>
        </w:rPr>
        <w:t xml:space="preserve"> Único</w:t>
      </w:r>
      <w:r w:rsidRPr="00AE3820">
        <w:rPr>
          <w:rFonts w:ascii="Times New Roman" w:hAnsi="Times New Roman" w:cs="Times New Roman"/>
          <w:szCs w:val="24"/>
        </w:rPr>
        <w:t xml:space="preserve"> - Objetivando maior consistência e subsídio às análises, os valores são demonstrados em valores correntes e constantes, utilizando-se os mesmos índices já comentados no Demonstrativo I.</w:t>
      </w:r>
    </w:p>
    <w:p w:rsidR="00AE3820" w:rsidRPr="00AE3820" w:rsidRDefault="00AE3820" w:rsidP="00AE3820">
      <w:pPr>
        <w:tabs>
          <w:tab w:val="left" w:pos="0"/>
          <w:tab w:val="left" w:pos="360"/>
          <w:tab w:val="left" w:pos="1980"/>
          <w:tab w:val="left" w:pos="2160"/>
          <w:tab w:val="left" w:pos="3420"/>
        </w:tabs>
        <w:spacing w:line="360" w:lineRule="auto"/>
        <w:ind w:firstLine="3402"/>
        <w:rPr>
          <w:rFonts w:ascii="Times New Roman" w:hAnsi="Times New Roman" w:cs="Times New Roman"/>
          <w:szCs w:val="24"/>
        </w:rPr>
      </w:pPr>
    </w:p>
    <w:p w:rsidR="00AE3820" w:rsidRPr="00AE3820" w:rsidRDefault="00AE3820" w:rsidP="00AE3820">
      <w:pPr>
        <w:pStyle w:val="Ttulo2"/>
        <w:tabs>
          <w:tab w:val="left" w:pos="0"/>
          <w:tab w:val="left" w:pos="2880"/>
        </w:tabs>
        <w:spacing w:line="360" w:lineRule="auto"/>
        <w:jc w:val="both"/>
        <w:rPr>
          <w:szCs w:val="24"/>
        </w:rPr>
      </w:pPr>
      <w:r w:rsidRPr="00AE3820">
        <w:rPr>
          <w:szCs w:val="24"/>
        </w:rPr>
        <w:tab/>
        <w:t>EVOLUÇÃO DO PATRIMÔNIO LÍQUIDO</w:t>
      </w:r>
    </w:p>
    <w:p w:rsidR="00AE3820" w:rsidRPr="00AE3820" w:rsidRDefault="00AE3820" w:rsidP="00AE3820">
      <w:pPr>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8º</w:t>
      </w:r>
      <w:r w:rsidRPr="00AE3820">
        <w:rPr>
          <w:rFonts w:ascii="Times New Roman" w:hAnsi="Times New Roman" w:cs="Times New Roman"/>
          <w:szCs w:val="24"/>
        </w:rPr>
        <w:t xml:space="preserve"> - Em obediência ao § 2º, inciso III, do Art. 4º da LRF, o Demonstrativo IV - Evolução do Patrimônio Líquido, traduz as variações do Patrimônio do Município e sua Consolidação.</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O Demonstrativo apresenta em separado a situação do Patrimônio Líquido do Regime Previdenciário.</w:t>
      </w:r>
    </w:p>
    <w:p w:rsidR="00AE3820" w:rsidRPr="00AE3820" w:rsidRDefault="00AE3820" w:rsidP="00AE3820">
      <w:pPr>
        <w:tabs>
          <w:tab w:val="left" w:pos="0"/>
          <w:tab w:val="left" w:pos="360"/>
          <w:tab w:val="left" w:pos="1980"/>
          <w:tab w:val="left" w:pos="2160"/>
          <w:tab w:val="left" w:pos="342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ORIGEM E APLICAÇÃO DOS RECURSOS OBTIDOS COM A ALIENAÇÃO DE ATIVOS</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9º</w:t>
      </w:r>
      <w:r w:rsidRPr="00AE3820">
        <w:rPr>
          <w:rFonts w:ascii="Times New Roman" w:hAnsi="Times New Roman" w:cs="Times New Roman"/>
          <w:szCs w:val="24"/>
        </w:rPr>
        <w:t xml:space="preserve"> - O § 2º, inciso III, do Art. 4º da LRF, que trata da Evolução do Patrimônio Líquido, estabelece também, que os recursos obtidos com a alienação de ativos que integram o referido patrimônio, são reaplicados em despesas de capital, salvo se destinada por lei aos </w:t>
      </w:r>
      <w:r w:rsidRPr="00AE3820">
        <w:rPr>
          <w:rFonts w:ascii="Times New Roman" w:hAnsi="Times New Roman" w:cs="Times New Roman"/>
          <w:szCs w:val="24"/>
        </w:rPr>
        <w:lastRenderedPageBreak/>
        <w:t>regimes de previdência social, geral ou próprio dos servidores públicos. O Demonstrativo V - Origem e Aplicação dos Recursos Obtidos com a Alienação de Ativos, estabelecer de onde foram obtidos os recursos e onde foram aplicados.</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O Demonstrativo apresenta em separado a situação do Patrimônio Líquido do Regime Previdenciário</w:t>
      </w:r>
    </w:p>
    <w:p w:rsidR="00AE3820" w:rsidRPr="00AE3820" w:rsidRDefault="00AE3820" w:rsidP="00AE3820">
      <w:pPr>
        <w:tabs>
          <w:tab w:val="left" w:pos="0"/>
          <w:tab w:val="left" w:pos="360"/>
          <w:tab w:val="left" w:pos="1980"/>
          <w:tab w:val="left" w:pos="2160"/>
          <w:tab w:val="left" w:pos="342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AVALIAÇÃO DA SITUAÇÃO FINANCEIRA E ATUARIAL DO REGIME PRÓPRIO DA PREVIDÊNCIA DOS SERVIDORES PÚBLICOS</w:t>
      </w: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10º</w:t>
      </w:r>
      <w:r w:rsidRPr="00AE3820">
        <w:rPr>
          <w:rFonts w:ascii="Times New Roman" w:hAnsi="Times New Roman" w:cs="Times New Roman"/>
          <w:szCs w:val="24"/>
        </w:rPr>
        <w:t xml:space="preserve"> - Em razão do que está estabelecido no § 2º, inciso IV, alínea "a", do Art. 4º, da LRF, o Anexo de Metas Fiscais integrante da Lei de Diretrizes Orçamentárias - LDO, conterá a avaliação da situação financeira e atuarial do regime próprio dos servidores municipais, nos três últimos exercícios O Demonstrativo VI - Receitas e Despesas Previdenciárias do RPPS, seguindo o modelo da Portaria nº 575/2007-STN, estabelece um comparativo de Receitas e Despesas Previdenciárias, terminando por apurar o Resultado Previdenciário e a Disponibilidade Financeira do RPPS.</w:t>
      </w: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ESTIMATIVA E COMPENSAÇÃO DA RENÚNCIA DE RECEITA</w:t>
      </w: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11</w:t>
      </w:r>
      <w:r w:rsidRPr="00AE3820">
        <w:rPr>
          <w:rFonts w:ascii="Times New Roman" w:hAnsi="Times New Roman" w:cs="Times New Roman"/>
          <w:szCs w:val="24"/>
        </w:rPr>
        <w:t xml:space="preserve"> - Conforme estabelecido no § 2º, inciso V, do Art. 4º, da LRF, o Anexo de Metas Fiscais conterá um demonstrativo que indique a natureza da renúncia fiscal e sua compensação, de maneira a não propiciar desequilíbrio das contas públicas. </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1º</w:t>
      </w:r>
      <w:r w:rsidRPr="00AE3820">
        <w:rPr>
          <w:rFonts w:ascii="Times New Roman" w:hAnsi="Times New Roman" w:cs="Times New Roman"/>
          <w:szCs w:val="24"/>
        </w:rPr>
        <w:t xml:space="preserve"> - A renúncia compreende incentivos fiscais, anistia, remissão, subsídio, crédito presumido, concessão de isenção, alteração de alíquota ou modificação da base de cálculo e outros benefícios que correspondam a tratamento diferenciado.</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szCs w:val="24"/>
        </w:rPr>
        <w:lastRenderedPageBreak/>
        <w:t>Parágrafo</w:t>
      </w:r>
      <w:r w:rsidRPr="00AE3820">
        <w:rPr>
          <w:rFonts w:ascii="Times New Roman" w:hAnsi="Times New Roman" w:cs="Times New Roman"/>
          <w:b/>
          <w:bCs/>
          <w:szCs w:val="24"/>
        </w:rPr>
        <w:t xml:space="preserve"> 2º</w:t>
      </w:r>
      <w:r w:rsidRPr="00AE3820">
        <w:rPr>
          <w:rFonts w:ascii="Times New Roman" w:hAnsi="Times New Roman" w:cs="Times New Roman"/>
          <w:szCs w:val="24"/>
        </w:rPr>
        <w:t xml:space="preserve"> - A compensação será acompanhada de medidas provenientes do aumento da receita, elevação de alíquotas, ampliação da base de cálculo, majoração ou criação de tributo ou contribuição.</w:t>
      </w:r>
    </w:p>
    <w:p w:rsidR="00AE3820" w:rsidRPr="00AE3820" w:rsidRDefault="00AE3820" w:rsidP="00AE3820">
      <w:pPr>
        <w:tabs>
          <w:tab w:val="left" w:pos="0"/>
          <w:tab w:val="left" w:pos="360"/>
          <w:tab w:val="left" w:pos="3420"/>
        </w:tabs>
        <w:spacing w:line="360" w:lineRule="auto"/>
        <w:rPr>
          <w:rFonts w:ascii="Times New Roman" w:hAnsi="Times New Roman" w:cs="Times New Roman"/>
          <w:szCs w:val="24"/>
        </w:rPr>
      </w:pPr>
      <w:r w:rsidRPr="00AE3820">
        <w:rPr>
          <w:rFonts w:ascii="Times New Roman" w:hAnsi="Times New Roman" w:cs="Times New Roman"/>
          <w:szCs w:val="24"/>
        </w:rPr>
        <w:t xml:space="preserve"> </w:t>
      </w:r>
    </w:p>
    <w:p w:rsidR="00AE3820" w:rsidRPr="00AE3820" w:rsidRDefault="00AE3820" w:rsidP="00AE3820">
      <w:pPr>
        <w:tabs>
          <w:tab w:val="left" w:pos="0"/>
          <w:tab w:val="left" w:pos="2880"/>
        </w:tabs>
        <w:spacing w:line="360" w:lineRule="auto"/>
        <w:jc w:val="center"/>
        <w:rPr>
          <w:rFonts w:ascii="Times New Roman" w:hAnsi="Times New Roman" w:cs="Times New Roman"/>
          <w:szCs w:val="24"/>
        </w:rPr>
      </w:pPr>
      <w:r w:rsidRPr="00AE3820">
        <w:rPr>
          <w:rFonts w:ascii="Times New Roman" w:hAnsi="Times New Roman" w:cs="Times New Roman"/>
          <w:b/>
          <w:bCs/>
          <w:szCs w:val="24"/>
        </w:rPr>
        <w:t>MARGEM DE EXPANSÃO DAS DESPESAS OBRIGATÓRIAS DE CARÁTER CONTINUADO</w:t>
      </w:r>
      <w:r w:rsidRPr="00AE3820">
        <w:rPr>
          <w:rFonts w:ascii="Times New Roman" w:hAnsi="Times New Roman" w:cs="Times New Roman"/>
          <w:szCs w:val="24"/>
        </w:rPr>
        <w:t>.</w:t>
      </w:r>
    </w:p>
    <w:p w:rsidR="00AE3820" w:rsidRPr="00AE3820" w:rsidRDefault="00AE3820" w:rsidP="00AE3820">
      <w:pPr>
        <w:tabs>
          <w:tab w:val="left" w:pos="0"/>
          <w:tab w:val="left" w:pos="2880"/>
        </w:tabs>
        <w:spacing w:line="360" w:lineRule="auto"/>
        <w:jc w:val="center"/>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12</w:t>
      </w:r>
      <w:r w:rsidRPr="00AE3820">
        <w:rPr>
          <w:rFonts w:ascii="Times New Roman" w:hAnsi="Times New Roman" w:cs="Times New Roman"/>
          <w:szCs w:val="24"/>
        </w:rPr>
        <w:t xml:space="preserve"> - O Art. 17, da LRF, considera obrigatória de caráter continuado a despesa corrente derivada de lei, medida provisória ou ato administrativo normativo que fixem para o ente obrigação legal de sua execução por um período superior a dois exercícios.</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O Demonstrativo VIII - Margem de Expansão das Despesas de Caráter Continuado, destina-se a permitir possível inclusão de eventuais programas, projetos ou atividades que venham caracterizar a criação de despesas de caráter continuado.</w:t>
      </w:r>
    </w:p>
    <w:p w:rsidR="00AE3820" w:rsidRPr="00AE3820" w:rsidRDefault="00AE3820" w:rsidP="00AE3820">
      <w:pPr>
        <w:tabs>
          <w:tab w:val="left" w:pos="0"/>
          <w:tab w:val="left" w:pos="288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MEMÓRIA E METODOLOGIA DE CÁLCULO DAS METAS ANUAIS DE RECEITAS, DESPESAS, RESULTADO PRIMÁRIO, RESULTADO NOMINAL E MONTANTE DA DÍVIDA PÚBLICA.</w:t>
      </w:r>
    </w:p>
    <w:p w:rsidR="00AE3820" w:rsidRPr="00AE3820" w:rsidRDefault="00AE3820" w:rsidP="00AE3820">
      <w:pPr>
        <w:tabs>
          <w:tab w:val="left" w:pos="0"/>
          <w:tab w:val="left" w:pos="360"/>
          <w:tab w:val="left" w:pos="3420"/>
          <w:tab w:val="left" w:pos="396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METODOLOGIA E MEMÓRIA DE CÁLCULO DAS METAS ANUAIS DAS RECEITAS E DESPESAS.</w:t>
      </w:r>
    </w:p>
    <w:p w:rsidR="00AE3820" w:rsidRPr="00AE3820" w:rsidRDefault="00AE3820" w:rsidP="00AE3820">
      <w:pPr>
        <w:tabs>
          <w:tab w:val="left" w:pos="0"/>
          <w:tab w:val="left" w:pos="360"/>
          <w:tab w:val="left" w:pos="3420"/>
          <w:tab w:val="left" w:pos="3960"/>
        </w:tabs>
        <w:spacing w:line="360" w:lineRule="auto"/>
        <w:rPr>
          <w:rFonts w:ascii="Times New Roman" w:hAnsi="Times New Roman" w:cs="Times New Roman"/>
          <w:szCs w:val="24"/>
        </w:rPr>
      </w:pPr>
    </w:p>
    <w:p w:rsidR="00AE3820" w:rsidRPr="00AE3820" w:rsidRDefault="00AE3820" w:rsidP="00AE3820">
      <w:pPr>
        <w:tabs>
          <w:tab w:val="left" w:pos="0"/>
          <w:tab w:val="left" w:pos="360"/>
          <w:tab w:val="left" w:pos="3420"/>
          <w:tab w:val="left" w:pos="396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13</w:t>
      </w:r>
      <w:r w:rsidRPr="00AE3820">
        <w:rPr>
          <w:rFonts w:ascii="Times New Roman" w:hAnsi="Times New Roman" w:cs="Times New Roman"/>
          <w:szCs w:val="24"/>
        </w:rPr>
        <w:t xml:space="preserve"> - O § 2º, inciso II, do Art. 4º,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rsidR="00AE3820" w:rsidRPr="00AE3820" w:rsidRDefault="00AE3820" w:rsidP="00AE3820">
      <w:pPr>
        <w:tabs>
          <w:tab w:val="left" w:pos="0"/>
          <w:tab w:val="left" w:pos="360"/>
          <w:tab w:val="left" w:pos="3420"/>
          <w:tab w:val="left" w:pos="396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lastRenderedPageBreak/>
        <w:t>Parágrafo Único</w:t>
      </w:r>
      <w:r w:rsidRPr="00AE3820">
        <w:rPr>
          <w:rFonts w:ascii="Times New Roman" w:hAnsi="Times New Roman" w:cs="Times New Roman"/>
          <w:szCs w:val="24"/>
        </w:rPr>
        <w:t xml:space="preserve"> - De conformidade com a Portaria nº 575/2007-STN, a base de dados da receita e da despesa constitui-se dos valores arrecadados na receita realizada e na despesa executada nos três exercícios anteriores e das previsões para 2020 e 2021.</w:t>
      </w:r>
    </w:p>
    <w:p w:rsidR="00AE3820" w:rsidRPr="00AE3820" w:rsidRDefault="00AE3820" w:rsidP="00AE3820">
      <w:pPr>
        <w:tabs>
          <w:tab w:val="left" w:pos="0"/>
          <w:tab w:val="left" w:pos="342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METODOLOGIA E MEMÓRIA DE CÁLCULO DAS METAS ANUAIS DO RESULTADO PRIMÁRIO.</w:t>
      </w: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14 </w:t>
      </w:r>
      <w:r w:rsidRPr="00AE3820">
        <w:rPr>
          <w:rFonts w:ascii="Times New Roman" w:hAnsi="Times New Roman" w:cs="Times New Roman"/>
          <w:szCs w:val="24"/>
        </w:rPr>
        <w:t>- A finalidade do conceito de Resultado Primário é indicar se os níveis de gastos orçamentários são compatíveis com sua arrecadação, ou seja, se as receitas não-financeiras são capazes de suportar as despesas não-financeiras.</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O cálculo da Meta de Resultado Primário  obedecerá  à metodologia estabelecida pelo Governo Federal, através das Portarias expedidas pela STN - Secretaria do Tesouro Nacional, e às normas da contabilidade pública.</w:t>
      </w:r>
    </w:p>
    <w:p w:rsidR="00AE3820" w:rsidRPr="00AE3820" w:rsidRDefault="00AE3820" w:rsidP="00AE3820">
      <w:pPr>
        <w:tabs>
          <w:tab w:val="left" w:pos="0"/>
          <w:tab w:val="left" w:pos="2880"/>
        </w:tabs>
        <w:spacing w:line="360" w:lineRule="auto"/>
        <w:ind w:firstLine="3402"/>
        <w:rPr>
          <w:rFonts w:ascii="Times New Roman" w:hAnsi="Times New Roman" w:cs="Times New Roman"/>
          <w:b/>
          <w:bCs/>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t>METODOLOGIA E MEMÓRIA DE CÁLCULO DAS METAS ANUAIS DO RESULTADO NOMINAL.</w:t>
      </w: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15</w:t>
      </w:r>
      <w:r w:rsidRPr="00AE3820">
        <w:rPr>
          <w:rFonts w:ascii="Times New Roman" w:hAnsi="Times New Roman" w:cs="Times New Roman"/>
          <w:szCs w:val="24"/>
        </w:rPr>
        <w:t xml:space="preserve"> - O cálculo do Resultado Nominal obedecerá à metodologia determinada pelo Governo Federal, com regulamentação pela STN.</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O cálculo das Metas Anuais do Resultado Nominal, leva em conta a Dívida Consolidada, da qual será deduzido o Ativo Disponível, mais Haveres Financeiros menos Restos a Pagar Processados, que resultará na Dívida Consolidada Líquida, que somada às Receitas de Privatizações e deduzidos os Passivos Reconhecidos, resultará na Dívida Fiscal Líquida.</w:t>
      </w:r>
    </w:p>
    <w:p w:rsidR="00AE3820" w:rsidRPr="00AE3820" w:rsidRDefault="00AE3820" w:rsidP="00AE3820">
      <w:pPr>
        <w:tabs>
          <w:tab w:val="left" w:pos="0"/>
          <w:tab w:val="left" w:pos="360"/>
          <w:tab w:val="left" w:pos="3420"/>
          <w:tab w:val="left" w:pos="3960"/>
        </w:tabs>
        <w:spacing w:line="360" w:lineRule="auto"/>
        <w:rPr>
          <w:rFonts w:ascii="Times New Roman" w:hAnsi="Times New Roman" w:cs="Times New Roman"/>
          <w:szCs w:val="24"/>
        </w:rPr>
      </w:pP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r w:rsidRPr="00AE3820">
        <w:rPr>
          <w:rFonts w:ascii="Times New Roman" w:hAnsi="Times New Roman" w:cs="Times New Roman"/>
          <w:b/>
          <w:bCs/>
          <w:szCs w:val="24"/>
        </w:rPr>
        <w:lastRenderedPageBreak/>
        <w:t>METODOLOGIA E MEMÓRIA DE CÁLCULO DAS METAS ANUAIS DO MONTANTE DA DÍVIDA PÚBLICA.</w:t>
      </w:r>
    </w:p>
    <w:p w:rsidR="00AE3820" w:rsidRPr="00AE3820" w:rsidRDefault="00AE3820" w:rsidP="00AE3820">
      <w:pPr>
        <w:tabs>
          <w:tab w:val="left" w:pos="0"/>
          <w:tab w:val="left" w:pos="2880"/>
        </w:tabs>
        <w:spacing w:line="360" w:lineRule="auto"/>
        <w:jc w:val="center"/>
        <w:rPr>
          <w:rFonts w:ascii="Times New Roman" w:hAnsi="Times New Roman" w:cs="Times New Roman"/>
          <w:b/>
          <w:bCs/>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16</w:t>
      </w:r>
      <w:r w:rsidRPr="00AE3820">
        <w:rPr>
          <w:rFonts w:ascii="Times New Roman" w:hAnsi="Times New Roman" w:cs="Times New Roman"/>
          <w:szCs w:val="24"/>
        </w:rPr>
        <w:t xml:space="preserve"> - Dívida Pública é o montante das obrigações assumidas pelo ente da Federação. Esta é representada pela emissão de títulos, operações de créditos e precatórios judiciais.   </w:t>
      </w: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p>
    <w:p w:rsidR="00AE3820" w:rsidRPr="00AE3820" w:rsidRDefault="00AE3820" w:rsidP="00AE3820">
      <w:pPr>
        <w:tabs>
          <w:tab w:val="left" w:pos="0"/>
          <w:tab w:val="left" w:pos="2880"/>
        </w:tabs>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Utiliza-se a base de dados de Balanços e Balancetes para sua elaboração constituindo os valores apurados nos exercícios anteriores e da projeção dos valores para 2020 e 2021.  </w:t>
      </w:r>
    </w:p>
    <w:p w:rsidR="00AE3820" w:rsidRPr="00AE3820" w:rsidRDefault="00AE3820" w:rsidP="00AE3820">
      <w:pPr>
        <w:spacing w:line="360" w:lineRule="auto"/>
        <w:outlineLvl w:val="0"/>
        <w:rPr>
          <w:rFonts w:ascii="Times New Roman" w:hAnsi="Times New Roman" w:cs="Times New Roman"/>
          <w:szCs w:val="24"/>
        </w:rPr>
      </w:pPr>
    </w:p>
    <w:p w:rsidR="00AE3820" w:rsidRPr="00AE3820" w:rsidRDefault="00AE3820" w:rsidP="00AE3820">
      <w:pPr>
        <w:spacing w:line="360" w:lineRule="auto"/>
        <w:jc w:val="center"/>
        <w:outlineLvl w:val="0"/>
        <w:rPr>
          <w:rFonts w:ascii="Times New Roman" w:hAnsi="Times New Roman" w:cs="Times New Roman"/>
          <w:b/>
          <w:szCs w:val="24"/>
        </w:rPr>
      </w:pPr>
      <w:r w:rsidRPr="00AE3820">
        <w:rPr>
          <w:rFonts w:ascii="Times New Roman" w:hAnsi="Times New Roman" w:cs="Times New Roman"/>
          <w:b/>
          <w:szCs w:val="24"/>
        </w:rPr>
        <w:t>II - DAS PRIORIDADES E METAS DA ADMINISTRAÇÃO MUNICIPAL</w:t>
      </w:r>
    </w:p>
    <w:p w:rsidR="00AE3820" w:rsidRPr="00AE3820" w:rsidRDefault="00AE3820" w:rsidP="00AE3820">
      <w:pPr>
        <w:spacing w:line="360" w:lineRule="auto"/>
        <w:ind w:firstLine="1440"/>
        <w:rPr>
          <w:rFonts w:ascii="Times New Roman" w:hAnsi="Times New Roman" w:cs="Times New Roman"/>
          <w:b/>
          <w:bCs/>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Art.17</w:t>
      </w:r>
      <w:r w:rsidRPr="00AE3820">
        <w:rPr>
          <w:rFonts w:ascii="Times New Roman" w:hAnsi="Times New Roman" w:cs="Times New Roman"/>
          <w:szCs w:val="24"/>
        </w:rPr>
        <w:t xml:space="preserve"> - Em consonância com o art. 165, § 2º, da Constituição da República, as metas e prioridades para o exercício financeiro de 2020 são as que estão definidas e demonstradas no Plano Plurianual de 2018 a 2021 devidamente especificadas no Anexo de Metas e Prioridades integrante desta Lei, as quais terão precedência na alocação de recursos, não se constituindo, entretanto, em limite inflexível à programação das despesas e, ainda, com observância das seguintes estratégias:</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w:t>
      </w:r>
      <w:r w:rsidRPr="00AE3820">
        <w:rPr>
          <w:rFonts w:ascii="Times New Roman" w:hAnsi="Times New Roman" w:cs="Times New Roman"/>
          <w:szCs w:val="24"/>
        </w:rPr>
        <w:t xml:space="preserve"> – promover o crescimento sustentado da economia local;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II</w:t>
      </w:r>
      <w:r w:rsidRPr="00AE3820">
        <w:rPr>
          <w:rFonts w:ascii="Times New Roman" w:hAnsi="Times New Roman" w:cs="Times New Roman"/>
          <w:szCs w:val="24"/>
        </w:rPr>
        <w:t xml:space="preserve"> – promover o desenvolvimento de programas voltados para a geração de empregos e oportunidades de renda;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III</w:t>
      </w:r>
      <w:r w:rsidRPr="00AE3820">
        <w:rPr>
          <w:rFonts w:ascii="Times New Roman" w:hAnsi="Times New Roman" w:cs="Times New Roman"/>
          <w:szCs w:val="24"/>
        </w:rPr>
        <w:t xml:space="preserve"> – combater a pobreza através do resgate da cidadania, da dignidade e da inclusão social;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IV</w:t>
      </w:r>
      <w:r w:rsidRPr="00AE3820">
        <w:rPr>
          <w:rFonts w:ascii="Times New Roman" w:hAnsi="Times New Roman" w:cs="Times New Roman"/>
          <w:szCs w:val="24"/>
        </w:rPr>
        <w:t xml:space="preserve"> – consolidar o Estado Democrático de Direito com ampla participação popular;</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w:t>
      </w:r>
      <w:r w:rsidRPr="00AE3820">
        <w:rPr>
          <w:rFonts w:ascii="Times New Roman" w:hAnsi="Times New Roman" w:cs="Times New Roman"/>
          <w:szCs w:val="24"/>
        </w:rPr>
        <w:t xml:space="preserve"> – oportunizar o exercício dos direitos de minorias vítimas de preconceito e discriminação;</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VI </w:t>
      </w:r>
      <w:r w:rsidRPr="00AE3820">
        <w:rPr>
          <w:rFonts w:ascii="Times New Roman" w:hAnsi="Times New Roman" w:cs="Times New Roman"/>
          <w:szCs w:val="24"/>
        </w:rPr>
        <w:t>– Valorizar o profissional da educação com a devida compensação salarial.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VII </w:t>
      </w:r>
      <w:r w:rsidRPr="00AE3820">
        <w:rPr>
          <w:rFonts w:ascii="Times New Roman" w:hAnsi="Times New Roman" w:cs="Times New Roman"/>
          <w:szCs w:val="24"/>
        </w:rPr>
        <w:t>– Intensificar assistência a todas as famílias carentes, por meio de programas.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lastRenderedPageBreak/>
        <w:t xml:space="preserve">VIII </w:t>
      </w:r>
      <w:r w:rsidRPr="00AE3820">
        <w:rPr>
          <w:rFonts w:ascii="Times New Roman" w:hAnsi="Times New Roman" w:cs="Times New Roman"/>
          <w:szCs w:val="24"/>
        </w:rPr>
        <w:t>– Valorizar o profissional da saúde com um Plano de Cargos, Carreira e salário concomitante recomposição salarial.</w:t>
      </w:r>
    </w:p>
    <w:p w:rsidR="00AE3820" w:rsidRPr="00AE3820" w:rsidRDefault="00AE3820" w:rsidP="00AE3820">
      <w:pPr>
        <w:spacing w:line="360" w:lineRule="auto"/>
        <w:ind w:firstLine="600"/>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Único</w:t>
      </w:r>
      <w:r w:rsidRPr="00AE3820">
        <w:rPr>
          <w:rFonts w:ascii="Times New Roman" w:hAnsi="Times New Roman" w:cs="Times New Roman"/>
          <w:szCs w:val="24"/>
        </w:rPr>
        <w:t xml:space="preserve"> - A execução das ações vinculadas às prioridades e metas do Anexo a que se refere o caput deste artigo, estará condicionada à manutenção do equilíbrio de contas publicas </w:t>
      </w:r>
      <w:r w:rsidRPr="00AE3820">
        <w:rPr>
          <w:rFonts w:ascii="Times New Roman" w:hAnsi="Times New Roman" w:cs="Times New Roman"/>
          <w:bCs/>
          <w:szCs w:val="24"/>
        </w:rPr>
        <w:t>ficando</w:t>
      </w:r>
      <w:r w:rsidRPr="00AE3820">
        <w:rPr>
          <w:rFonts w:ascii="Times New Roman" w:hAnsi="Times New Roman" w:cs="Times New Roman"/>
          <w:szCs w:val="24"/>
        </w:rPr>
        <w:t xml:space="preserve"> vedada à criação, expansão ou o aperfeiçoamento de programa de trabalho que acarrete aumento de despesa sem a verificação de seu impacto orçamentário e financeiro e a compatibilidade com o Plano Plurianual.</w:t>
      </w:r>
    </w:p>
    <w:p w:rsidR="00AE3820" w:rsidRPr="00AE3820" w:rsidRDefault="00AE3820" w:rsidP="00AE3820">
      <w:pPr>
        <w:pStyle w:val="Ttulo1"/>
        <w:spacing w:line="360" w:lineRule="auto"/>
        <w:jc w:val="left"/>
        <w:rPr>
          <w:b w:val="0"/>
          <w:sz w:val="24"/>
          <w:szCs w:val="24"/>
        </w:rPr>
      </w:pPr>
    </w:p>
    <w:p w:rsidR="00AE3820" w:rsidRPr="00AE3820" w:rsidRDefault="00AE3820" w:rsidP="00AE3820">
      <w:pPr>
        <w:pStyle w:val="Ttulo1"/>
        <w:spacing w:line="360" w:lineRule="auto"/>
        <w:rPr>
          <w:sz w:val="24"/>
          <w:szCs w:val="24"/>
        </w:rPr>
      </w:pPr>
    </w:p>
    <w:p w:rsidR="00AE3820" w:rsidRPr="00AE3820" w:rsidRDefault="00AE3820" w:rsidP="00AE3820">
      <w:pPr>
        <w:pStyle w:val="Ttulo1"/>
        <w:tabs>
          <w:tab w:val="center" w:pos="4819"/>
          <w:tab w:val="left" w:pos="6105"/>
        </w:tabs>
        <w:spacing w:line="360" w:lineRule="auto"/>
        <w:jc w:val="left"/>
        <w:rPr>
          <w:sz w:val="24"/>
          <w:szCs w:val="24"/>
        </w:rPr>
      </w:pPr>
      <w:r w:rsidRPr="00AE3820">
        <w:rPr>
          <w:sz w:val="24"/>
          <w:szCs w:val="24"/>
        </w:rPr>
        <w:tab/>
        <w:t>CAPÍTULO III</w:t>
      </w:r>
      <w:r w:rsidRPr="00AE3820">
        <w:rPr>
          <w:sz w:val="24"/>
          <w:szCs w:val="24"/>
        </w:rPr>
        <w:tab/>
      </w:r>
    </w:p>
    <w:p w:rsidR="00AE3820" w:rsidRPr="00AE3820" w:rsidRDefault="00AE3820" w:rsidP="00AE3820">
      <w:pPr>
        <w:rPr>
          <w:rFonts w:ascii="Times New Roman" w:hAnsi="Times New Roman" w:cs="Times New Roman"/>
          <w:szCs w:val="24"/>
        </w:rPr>
      </w:pPr>
    </w:p>
    <w:p w:rsidR="00AE3820" w:rsidRPr="00AE3820" w:rsidRDefault="00AE3820" w:rsidP="00AE3820">
      <w:pPr>
        <w:spacing w:line="360" w:lineRule="auto"/>
        <w:jc w:val="center"/>
        <w:rPr>
          <w:rFonts w:ascii="Times New Roman" w:hAnsi="Times New Roman" w:cs="Times New Roman"/>
          <w:b/>
          <w:szCs w:val="24"/>
        </w:rPr>
      </w:pPr>
      <w:r w:rsidRPr="00AE3820">
        <w:rPr>
          <w:rFonts w:ascii="Times New Roman" w:hAnsi="Times New Roman" w:cs="Times New Roman"/>
          <w:b/>
          <w:szCs w:val="24"/>
        </w:rPr>
        <w:t>III - DA ESTRUTURA E ORGANIZAÇÃO DO ORÇAMENTO</w:t>
      </w:r>
    </w:p>
    <w:p w:rsidR="00AE3820" w:rsidRPr="00AE3820" w:rsidRDefault="00AE3820" w:rsidP="00AE3820">
      <w:pPr>
        <w:spacing w:line="360" w:lineRule="auto"/>
        <w:jc w:val="center"/>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Art.18- </w:t>
      </w:r>
      <w:r w:rsidRPr="00AE3820">
        <w:rPr>
          <w:rFonts w:ascii="Times New Roman" w:hAnsi="Times New Roman" w:cs="Times New Roman"/>
          <w:szCs w:val="24"/>
        </w:rPr>
        <w:t>O orçamento para o exercício financeiro de 2020 abrangera o Poder Executivo e Legislativo, e Unidades Orçamentárias que recebem recursos do Tesouro e da Seguridade Social evidenciando as Receitas e Despesas, especificando as aqueles vínculos com Fundos; desdobrando as despesas por função, sub-função, programa, projeto, atividade ou operações especiais e, quanto a sua natureza, por categoria econômica, grupo de natureza de despesa e modalidade de aplicação, tudo em conformidade com as portarias  SOF/STN 42/1999 e 163/2001 e alterações posteriores, a qual estão anexados os  anexos ora exigidos nas portarias da Secretaria do Tesouro Nacional – STN; integrara ainda no orçamento a mensagem de encaminhamento da proposta orçamentária de que  trata o artigo 22, Parágrafo Único, inciso I da Lei 4.320/64, contendo  todos os anexos exigidos na legislação pertinente.</w:t>
      </w: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 </w:t>
      </w:r>
      <w:r w:rsidRPr="00AE3820">
        <w:rPr>
          <w:rFonts w:ascii="Times New Roman" w:hAnsi="Times New Roman" w:cs="Times New Roman"/>
          <w:szCs w:val="24"/>
        </w:rPr>
        <w:t>Para o cumprimento do caput, entende-se por estrutura do orçamento, senão vejamos:</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rPr>
          <w:rFonts w:ascii="Times New Roman" w:hAnsi="Times New Roman" w:cs="Times New Roman"/>
          <w:b/>
          <w:bCs/>
          <w:szCs w:val="24"/>
        </w:rPr>
      </w:pPr>
      <w:r w:rsidRPr="00AE3820">
        <w:rPr>
          <w:rFonts w:ascii="Times New Roman" w:hAnsi="Times New Roman" w:cs="Times New Roman"/>
          <w:b/>
          <w:bCs/>
          <w:szCs w:val="24"/>
        </w:rPr>
        <w:lastRenderedPageBreak/>
        <w:t>I</w:t>
      </w:r>
      <w:r w:rsidRPr="00AE3820">
        <w:rPr>
          <w:rFonts w:ascii="Times New Roman" w:hAnsi="Times New Roman" w:cs="Times New Roman"/>
          <w:szCs w:val="24"/>
        </w:rPr>
        <w:t xml:space="preserve"> – Programa: instrumento de organização da ação de governo, visando alcançar os objetivos pretendidos, sendo medidos por indicadores estabelecidos no plano plurianual;</w:t>
      </w:r>
    </w:p>
    <w:p w:rsidR="00AE3820" w:rsidRPr="00AE3820" w:rsidRDefault="00AE3820" w:rsidP="00AE3820">
      <w:pPr>
        <w:spacing w:line="360" w:lineRule="auto"/>
        <w:rPr>
          <w:rFonts w:ascii="Times New Roman" w:hAnsi="Times New Roman" w:cs="Times New Roman"/>
          <w:b/>
          <w:bCs/>
          <w:szCs w:val="24"/>
        </w:rPr>
      </w:pPr>
      <w:r w:rsidRPr="00AE3820">
        <w:rPr>
          <w:rFonts w:ascii="Times New Roman" w:hAnsi="Times New Roman" w:cs="Times New Roman"/>
          <w:b/>
          <w:bCs/>
          <w:szCs w:val="24"/>
        </w:rPr>
        <w:t>II</w:t>
      </w:r>
      <w:r w:rsidRPr="00AE3820">
        <w:rPr>
          <w:rFonts w:ascii="Times New Roman" w:hAnsi="Times New Roman" w:cs="Times New Roman"/>
          <w:szCs w:val="24"/>
        </w:rPr>
        <w:t xml:space="preserve"> – Atividade: instrumento de programação para alcançar o objetivo de um programa, circunscrevendo um conjunto de operações que se realizam de modo contínuo e permanente, das quais resulta um produto necessário à manutenção da ação governamental;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III</w:t>
      </w:r>
      <w:r w:rsidRPr="00AE3820">
        <w:rPr>
          <w:rFonts w:ascii="Times New Roman" w:hAnsi="Times New Roman" w:cs="Times New Roman"/>
          <w:szCs w:val="24"/>
        </w:rPr>
        <w:t xml:space="preserve"> – Projeto: instrumento de programação para alcançar o objetivo de um programa, circunscrevendo um conjunto de operações, limitadas no tempo, das quais resulta um produto que concorre para a expansão ou aperfeiçoamento da ação de governo.</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IV -</w:t>
      </w:r>
      <w:r w:rsidRPr="00AE3820">
        <w:rPr>
          <w:rFonts w:ascii="Times New Roman" w:hAnsi="Times New Roman" w:cs="Times New Roman"/>
          <w:szCs w:val="24"/>
        </w:rPr>
        <w:t xml:space="preserve"> Cada programa </w:t>
      </w:r>
      <w:r w:rsidRPr="00AE3820">
        <w:rPr>
          <w:rFonts w:ascii="Times New Roman" w:hAnsi="Times New Roman" w:cs="Times New Roman"/>
          <w:b/>
          <w:bCs/>
          <w:szCs w:val="24"/>
        </w:rPr>
        <w:t>identificará</w:t>
      </w:r>
      <w:r w:rsidRPr="00AE3820">
        <w:rPr>
          <w:rFonts w:ascii="Times New Roman" w:hAnsi="Times New Roman" w:cs="Times New Roman"/>
          <w:szCs w:val="24"/>
        </w:rPr>
        <w:t xml:space="preserve"> as ações necessárias para a consecução dos seus objetivos, sob a forma de atividades e projetos, demonstrando os respectivos valores e metas, bem como as unidades orçamentárias responsáveis pela realização da ação.</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 -</w:t>
      </w:r>
      <w:r w:rsidRPr="00AE3820">
        <w:rPr>
          <w:rFonts w:ascii="Times New Roman" w:hAnsi="Times New Roman" w:cs="Times New Roman"/>
          <w:szCs w:val="24"/>
        </w:rPr>
        <w:t xml:space="preserve"> As categorias de programação de que trata esta Lei são identificadas no projeto de lei orçamentária por programas, atividades ou projetos, e respectivos subtítulos com indicação de suas metas físicas.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VI -</w:t>
      </w:r>
      <w:r w:rsidRPr="00AE3820">
        <w:rPr>
          <w:rFonts w:ascii="Times New Roman" w:hAnsi="Times New Roman" w:cs="Times New Roman"/>
          <w:szCs w:val="24"/>
        </w:rPr>
        <w:t xml:space="preserve"> O orçamento fiscal e da seguridade social abrangerá a programação da administração direta do Poder Executivo, discriminando a despesa por unidade orçamentária, detalhando por categoria as respectivas dotações, especificando a esfera orçamentária, a modalidade de aplicação, a fonte de recurso e os grupos de despesas, da seguinte forma: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a</w:t>
      </w:r>
      <w:r w:rsidRPr="00AE3820">
        <w:rPr>
          <w:rFonts w:ascii="Times New Roman" w:hAnsi="Times New Roman" w:cs="Times New Roman"/>
          <w:szCs w:val="24"/>
        </w:rPr>
        <w:t xml:space="preserve">   – pessoal e encargos sociais;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b</w:t>
      </w:r>
      <w:r w:rsidRPr="00AE3820">
        <w:rPr>
          <w:rFonts w:ascii="Times New Roman" w:hAnsi="Times New Roman" w:cs="Times New Roman"/>
          <w:szCs w:val="24"/>
        </w:rPr>
        <w:t xml:space="preserve"> – juros e encargos da dívida;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c</w:t>
      </w:r>
      <w:r w:rsidRPr="00AE3820">
        <w:rPr>
          <w:rFonts w:ascii="Times New Roman" w:hAnsi="Times New Roman" w:cs="Times New Roman"/>
          <w:szCs w:val="24"/>
        </w:rPr>
        <w:t xml:space="preserve"> – outras despesas correntes;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d</w:t>
      </w:r>
      <w:r w:rsidRPr="00AE3820">
        <w:rPr>
          <w:rFonts w:ascii="Times New Roman" w:hAnsi="Times New Roman" w:cs="Times New Roman"/>
          <w:szCs w:val="24"/>
        </w:rPr>
        <w:t xml:space="preserve"> – investimentos;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e </w:t>
      </w:r>
      <w:r w:rsidRPr="00AE3820">
        <w:rPr>
          <w:rFonts w:ascii="Times New Roman" w:hAnsi="Times New Roman" w:cs="Times New Roman"/>
          <w:szCs w:val="24"/>
        </w:rPr>
        <w:t xml:space="preserve">– inversões financeiras; e </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f</w:t>
      </w:r>
      <w:r w:rsidRPr="00AE3820">
        <w:rPr>
          <w:rFonts w:ascii="Times New Roman" w:hAnsi="Times New Roman" w:cs="Times New Roman"/>
          <w:szCs w:val="24"/>
        </w:rPr>
        <w:t xml:space="preserve"> – amortização da dívida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VII</w:t>
      </w:r>
      <w:r w:rsidRPr="00AE3820">
        <w:rPr>
          <w:rFonts w:ascii="Times New Roman" w:hAnsi="Times New Roman" w:cs="Times New Roman"/>
          <w:szCs w:val="24"/>
        </w:rPr>
        <w:t xml:space="preserve"> - O projeto de lei orçamentária anual que o Poder Executivo encaminhará ao Poder Legislativo será constituído de acordo com as exigências contidas na Lei n. 4.320/64, especialmente no que concerne 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szCs w:val="24"/>
        </w:rPr>
        <w:t>a</w:t>
      </w:r>
      <w:r w:rsidRPr="00AE3820">
        <w:rPr>
          <w:rFonts w:ascii="Times New Roman" w:hAnsi="Times New Roman" w:cs="Times New Roman"/>
          <w:szCs w:val="24"/>
        </w:rPr>
        <w:t xml:space="preserve"> –  quadros orçamentários consolidados;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szCs w:val="24"/>
        </w:rPr>
        <w:t>b</w:t>
      </w:r>
      <w:r w:rsidRPr="00AE3820">
        <w:rPr>
          <w:rFonts w:ascii="Times New Roman" w:hAnsi="Times New Roman" w:cs="Times New Roman"/>
          <w:szCs w:val="24"/>
        </w:rPr>
        <w:t>– anexos dos orçamentos fiscais e da seguridade social, discriminando a receita e a despesa;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szCs w:val="24"/>
        </w:rPr>
        <w:lastRenderedPageBreak/>
        <w:t>c</w:t>
      </w:r>
      <w:r w:rsidRPr="00AE3820">
        <w:rPr>
          <w:rFonts w:ascii="Times New Roman" w:hAnsi="Times New Roman" w:cs="Times New Roman"/>
          <w:szCs w:val="24"/>
        </w:rPr>
        <w:t xml:space="preserve"> – discriminação da legislação da receita e da despesa, referente ao orçamento fiscal e da seguridade social.</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VIII</w:t>
      </w:r>
      <w:r w:rsidRPr="00AE3820">
        <w:rPr>
          <w:rFonts w:ascii="Times New Roman" w:hAnsi="Times New Roman" w:cs="Times New Roman"/>
          <w:szCs w:val="24"/>
        </w:rPr>
        <w:t xml:space="preserve"> – Na estrutura do orçamento anual do Município consignará  ainda: </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a</w:t>
      </w:r>
      <w:r w:rsidRPr="00AE3820">
        <w:rPr>
          <w:rFonts w:ascii="Times New Roman" w:hAnsi="Times New Roman" w:cs="Times New Roman"/>
          <w:szCs w:val="24"/>
        </w:rPr>
        <w:t xml:space="preserve"> – os recursos destinados ao pagamento da dívida municipal e seus serviços;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b </w:t>
      </w:r>
      <w:r w:rsidRPr="00AE3820">
        <w:rPr>
          <w:rFonts w:ascii="Times New Roman" w:hAnsi="Times New Roman" w:cs="Times New Roman"/>
          <w:szCs w:val="24"/>
        </w:rPr>
        <w:t>– os recursos destinados ao pagamento de precatórios, nos termos previstos no art. 100 e parágrafos, da Constituição da República;</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c </w:t>
      </w:r>
      <w:r w:rsidRPr="00AE3820">
        <w:rPr>
          <w:rFonts w:ascii="Times New Roman" w:hAnsi="Times New Roman" w:cs="Times New Roman"/>
          <w:szCs w:val="24"/>
        </w:rPr>
        <w:t>– os recursos para pagamento de pessoal e seus encargos;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d</w:t>
      </w:r>
      <w:r w:rsidRPr="00AE3820">
        <w:rPr>
          <w:rFonts w:ascii="Times New Roman" w:hAnsi="Times New Roman" w:cs="Times New Roman"/>
          <w:szCs w:val="24"/>
        </w:rPr>
        <w:t xml:space="preserve"> – os recursos para a educação conforme artigo 212 da Constituição da República, aplicando 25% (vinte e cinco por cento) de suas receitas resultantes de impostos, incluídas as transferências obrigatórias constitucionais, na manutenção e desenvolvimento do ensino.</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e</w:t>
      </w:r>
      <w:r w:rsidRPr="00AE3820">
        <w:rPr>
          <w:rFonts w:ascii="Times New Roman" w:hAnsi="Times New Roman" w:cs="Times New Roman"/>
          <w:szCs w:val="24"/>
        </w:rPr>
        <w:t xml:space="preserve"> – os recursos destinados à manutenção do Poder Legislativo,conforme a Emenda Constitucional de nº 58 de 23-09-09 que altera o inciso VI do artigo 29 e acrescenta o artigo 29-A à Constituição Federal que dispõem sobre limites de despesa com o Poder Legislativo Municipal que  terá o percentual de 7% (sete por cento) da soma da receita tributária  e das transferências prevista no § 5º do artigo 153 e nos arts, 158 e 159 efetivamente realizado no exercício anterior do mesmo diploma legal. </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f</w:t>
      </w:r>
      <w:r w:rsidRPr="00AE3820">
        <w:rPr>
          <w:rFonts w:ascii="Times New Roman" w:hAnsi="Times New Roman" w:cs="Times New Roman"/>
          <w:szCs w:val="24"/>
        </w:rPr>
        <w:t xml:space="preserve"> – os recursos destinados à capacitação profissional dos servidores públicos e dos agentes políticos;</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g </w:t>
      </w:r>
      <w:r w:rsidRPr="00AE3820">
        <w:rPr>
          <w:rFonts w:ascii="Times New Roman" w:hAnsi="Times New Roman" w:cs="Times New Roman"/>
          <w:szCs w:val="24"/>
        </w:rPr>
        <w:t>– os recursos destinados à manutenção e desenvolvimento do ensino, em montante igual ou superior ao limite estabelecido no art. 69 da Lei n. 9.324/96;</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h</w:t>
      </w:r>
      <w:r w:rsidRPr="00AE3820">
        <w:rPr>
          <w:rFonts w:ascii="Times New Roman" w:hAnsi="Times New Roman" w:cs="Times New Roman"/>
          <w:szCs w:val="24"/>
        </w:rPr>
        <w:t xml:space="preserve"> – os recursos destinados a Execução do Programa Nacional de Alimentação Escolar-PNAE;</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w:t>
      </w:r>
      <w:r w:rsidRPr="00AE3820">
        <w:rPr>
          <w:rFonts w:ascii="Times New Roman" w:hAnsi="Times New Roman" w:cs="Times New Roman"/>
          <w:szCs w:val="24"/>
        </w:rPr>
        <w:t xml:space="preserve"> – os recursos destinados a Execução do Programa Direto de Dinheiro na Escola - PDDE.</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 xml:space="preserve">j </w:t>
      </w:r>
      <w:r w:rsidRPr="00AE3820">
        <w:rPr>
          <w:rFonts w:ascii="Times New Roman" w:hAnsi="Times New Roman" w:cs="Times New Roman"/>
          <w:szCs w:val="24"/>
        </w:rPr>
        <w:t>– os recursos destinados a atender a Emenda Constitucional n. 29/00 que altera os art. 34, 35, 156, 160, 167,168 da Constituição Federal e acrescenta artigo ao Ato das Disposições Constitucionais Transitórias, para assegurar os recursos mínimos para o financiamento das ações e serviços públicos de saúde, que no exercício financeiro de 2020 será de no mínimo de 15,00%.</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t>IX</w:t>
      </w:r>
      <w:r w:rsidRPr="00AE3820">
        <w:rPr>
          <w:rFonts w:ascii="Times New Roman" w:hAnsi="Times New Roman" w:cs="Times New Roman"/>
          <w:szCs w:val="24"/>
        </w:rPr>
        <w:t xml:space="preserve"> - Os decretos de abertura de créditos suplementares serão acompanhados de exposição detalhada de motivos, contendo justificativa, bem como os efeitos prováveis dos cancelamentos das dotações sobre a execução das atividades e dos projetos, levando-se sempre em conta o equilíbrio fiscal. </w:t>
      </w:r>
    </w:p>
    <w:p w:rsidR="00AE3820" w:rsidRPr="00AE3820" w:rsidRDefault="00AE3820" w:rsidP="00AE3820">
      <w:pPr>
        <w:spacing w:line="360" w:lineRule="auto"/>
        <w:rPr>
          <w:rFonts w:ascii="Times New Roman" w:hAnsi="Times New Roman" w:cs="Times New Roman"/>
          <w:szCs w:val="24"/>
        </w:rPr>
      </w:pPr>
      <w:r w:rsidRPr="00AE3820">
        <w:rPr>
          <w:rFonts w:ascii="Times New Roman" w:hAnsi="Times New Roman" w:cs="Times New Roman"/>
          <w:b/>
          <w:bCs/>
          <w:szCs w:val="24"/>
        </w:rPr>
        <w:lastRenderedPageBreak/>
        <w:t xml:space="preserve">X- </w:t>
      </w:r>
      <w:r w:rsidRPr="00AE3820">
        <w:rPr>
          <w:rFonts w:ascii="Times New Roman" w:hAnsi="Times New Roman" w:cs="Times New Roman"/>
          <w:szCs w:val="24"/>
        </w:rPr>
        <w:t>Os créditos Adicionais Suplementares, Transposição e Remanejamento de uma categoria econômica para outra ou de um órgão para outro, esta fixado no corpo da lei orçamentária no limite de 30% (Trinta por cento) observando o disposto no art. 43 da Lei 4.320/64.</w:t>
      </w:r>
    </w:p>
    <w:p w:rsidR="00AE3820" w:rsidRPr="00AE3820" w:rsidRDefault="00AE3820" w:rsidP="00AE3820">
      <w:pPr>
        <w:spacing w:line="360" w:lineRule="auto"/>
        <w:rPr>
          <w:rFonts w:ascii="Times New Roman" w:hAnsi="Times New Roman" w:cs="Times New Roman"/>
          <w:b/>
          <w:bCs/>
          <w:szCs w:val="24"/>
        </w:rPr>
      </w:pPr>
      <w:r w:rsidRPr="00AE3820">
        <w:rPr>
          <w:rFonts w:ascii="Times New Roman" w:hAnsi="Times New Roman" w:cs="Times New Roman"/>
          <w:b/>
          <w:bCs/>
          <w:szCs w:val="24"/>
        </w:rPr>
        <w:t xml:space="preserve">XI- </w:t>
      </w:r>
      <w:r w:rsidRPr="00AE3820">
        <w:rPr>
          <w:rFonts w:ascii="Times New Roman" w:hAnsi="Times New Roman" w:cs="Times New Roman"/>
          <w:szCs w:val="24"/>
        </w:rPr>
        <w:t>O valor estimado para a formação do Patrimônio do Servidor Publico PASEP corresponde a 1% das Receitas Correntes e Transferências de Capital, menos as retenções para o FUNDEB, estando de acordo com as Disposições contidas no artigo 2º inciso III, c/c artigos 7º e 8º inciso III da Lei nº 9.715/98.</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pStyle w:val="Ttulo1"/>
        <w:spacing w:line="360" w:lineRule="auto"/>
        <w:rPr>
          <w:sz w:val="24"/>
          <w:szCs w:val="24"/>
        </w:rPr>
      </w:pPr>
    </w:p>
    <w:p w:rsidR="00AE3820" w:rsidRPr="00AE3820" w:rsidRDefault="00AE3820" w:rsidP="00AE3820">
      <w:pPr>
        <w:rPr>
          <w:rFonts w:ascii="Times New Roman" w:hAnsi="Times New Roman" w:cs="Times New Roman"/>
          <w:szCs w:val="24"/>
        </w:rPr>
      </w:pPr>
    </w:p>
    <w:p w:rsidR="00AE3820" w:rsidRPr="00AE3820" w:rsidRDefault="00AE3820" w:rsidP="00AE3820">
      <w:pPr>
        <w:pStyle w:val="Ttulo1"/>
        <w:spacing w:line="360" w:lineRule="auto"/>
        <w:rPr>
          <w:sz w:val="24"/>
          <w:szCs w:val="24"/>
        </w:rPr>
      </w:pPr>
      <w:r w:rsidRPr="00AE3820">
        <w:rPr>
          <w:sz w:val="24"/>
          <w:szCs w:val="24"/>
        </w:rPr>
        <w:t>CAPÍTULO IV</w:t>
      </w:r>
    </w:p>
    <w:p w:rsidR="00AE3820" w:rsidRPr="00AE3820" w:rsidRDefault="00AE3820" w:rsidP="00AE3820">
      <w:pPr>
        <w:rPr>
          <w:rFonts w:ascii="Times New Roman" w:hAnsi="Times New Roman" w:cs="Times New Roman"/>
          <w:szCs w:val="24"/>
        </w:rPr>
      </w:pPr>
    </w:p>
    <w:p w:rsidR="00AE3820" w:rsidRPr="00AE3820" w:rsidRDefault="00AE3820" w:rsidP="00AE3820">
      <w:pPr>
        <w:spacing w:line="360" w:lineRule="auto"/>
        <w:jc w:val="center"/>
        <w:rPr>
          <w:rFonts w:ascii="Times New Roman" w:hAnsi="Times New Roman" w:cs="Times New Roman"/>
          <w:b/>
          <w:szCs w:val="24"/>
        </w:rPr>
      </w:pPr>
      <w:r w:rsidRPr="00AE3820">
        <w:rPr>
          <w:rFonts w:ascii="Times New Roman" w:hAnsi="Times New Roman" w:cs="Times New Roman"/>
          <w:b/>
          <w:szCs w:val="24"/>
        </w:rPr>
        <w:t>IV- DIRETRIZES GERAIS PARA A ELABORAÇÃO E EXECUÇÃO DO ORÇAMENTO</w:t>
      </w:r>
    </w:p>
    <w:p w:rsidR="00AE3820" w:rsidRPr="00AE3820" w:rsidRDefault="00AE3820" w:rsidP="00AE3820">
      <w:pPr>
        <w:pStyle w:val="Corpodetexto2"/>
        <w:spacing w:line="360" w:lineRule="auto"/>
        <w:ind w:firstLine="1440"/>
        <w:rPr>
          <w:rFonts w:ascii="Times New Roman" w:hAnsi="Times New Roman" w:cs="Times New Roman"/>
          <w:b/>
          <w:bCs/>
          <w:szCs w:val="24"/>
        </w:rPr>
      </w:pPr>
    </w:p>
    <w:p w:rsidR="00AE3820" w:rsidRPr="00AE3820" w:rsidRDefault="00AE3820" w:rsidP="00AE3820">
      <w:pPr>
        <w:pStyle w:val="Corpodetexto2"/>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19 -</w:t>
      </w:r>
      <w:r w:rsidRPr="00AE3820">
        <w:rPr>
          <w:rFonts w:ascii="Times New Roman" w:hAnsi="Times New Roman" w:cs="Times New Roman"/>
          <w:szCs w:val="24"/>
        </w:rPr>
        <w:t xml:space="preserve"> A elaboração do projeto, aprovação e execução da lei orçamentária de 2020 deverá ocorrer de modo a dar transparência à gestão fiscal, com observância ao princípio da publicidade, permitindo o amplo acesso da sociedade a todas as informações concernentes a cada uma dessas etapas, bem como indicar sugestões acompanhadas de soluções para o desenvolvimento dos resultados previstos no Anexo de Metas Fiscais que integra a presente Lei; devendo ainda ser observado os efeitos da alteração da legislação tributaria, incentivos fiscais autorizados, a inflação do período, o crescimento econômico, a ampliação da base de calculo dos tributos e a sua evolução nos últimos três exercícios para os dois seguintes.</w:t>
      </w:r>
    </w:p>
    <w:p w:rsidR="00AE3820" w:rsidRPr="00AE3820" w:rsidRDefault="00AE3820" w:rsidP="00AE3820">
      <w:pPr>
        <w:pStyle w:val="Corpodetexto2"/>
        <w:spacing w:line="360" w:lineRule="auto"/>
        <w:ind w:firstLine="1440"/>
        <w:rPr>
          <w:rFonts w:ascii="Times New Roman" w:hAnsi="Times New Roman" w:cs="Times New Roman"/>
          <w:szCs w:val="24"/>
        </w:rPr>
      </w:pPr>
    </w:p>
    <w:p w:rsidR="00AE3820" w:rsidRPr="00AE3820" w:rsidRDefault="00AE3820" w:rsidP="00AE3820">
      <w:pPr>
        <w:pStyle w:val="Corpodetexto2"/>
        <w:spacing w:line="360" w:lineRule="auto"/>
        <w:ind w:firstLine="3402"/>
        <w:rPr>
          <w:rFonts w:ascii="Times New Roman" w:hAnsi="Times New Roman" w:cs="Times New Roman"/>
          <w:szCs w:val="24"/>
        </w:rPr>
      </w:pPr>
      <w:r w:rsidRPr="00AE3820">
        <w:rPr>
          <w:rFonts w:ascii="Times New Roman" w:hAnsi="Times New Roman" w:cs="Times New Roman"/>
          <w:b/>
          <w:bCs/>
          <w:szCs w:val="24"/>
        </w:rPr>
        <w:t>Parágrafo Único</w:t>
      </w:r>
      <w:r w:rsidRPr="00AE3820">
        <w:rPr>
          <w:rFonts w:ascii="Times New Roman" w:hAnsi="Times New Roman" w:cs="Times New Roman"/>
          <w:szCs w:val="24"/>
        </w:rPr>
        <w:t xml:space="preserve"> - Além dos princípios da transparência e da publicidade da gestão fiscal, a proposta orçamentária deverá estar em consonância com os princípios da universalidade, anualidade e exclusividade, onde as despesas fixadas devem manter estrita observância com as previsões das receitas. </w:t>
      </w:r>
    </w:p>
    <w:p w:rsidR="00AE3820" w:rsidRPr="00AE3820" w:rsidRDefault="00AE3820" w:rsidP="00AE3820">
      <w:pPr>
        <w:pStyle w:val="Corpodetexto2"/>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20</w:t>
      </w:r>
      <w:r w:rsidRPr="00AE3820">
        <w:rPr>
          <w:rFonts w:ascii="Times New Roman" w:hAnsi="Times New Roman" w:cs="Times New Roman"/>
          <w:szCs w:val="24"/>
        </w:rPr>
        <w:t xml:space="preserve"> - O projeto de lei orçamentária poderá incluir a programação contida em propostas de alterações do Plano Plurianual 2018-2021, desde que tais propostas tenham sido objetos de projetos de lei específicos.</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Parágrafo Único- </w:t>
      </w:r>
      <w:r w:rsidRPr="00AE3820">
        <w:rPr>
          <w:rFonts w:ascii="Times New Roman" w:hAnsi="Times New Roman" w:cs="Times New Roman"/>
          <w:szCs w:val="24"/>
        </w:rPr>
        <w:t>Até 30 dias antes do prazo para encaminhamento da Proposta Orçamentária ao Poder legislativo, o Poder Executivo Municipal colocará a disposição da Câmara Municipal e do Ministério Publico, os estudos e as estimativas de receitas para exercícios subseqüentes e as respectivas memórias de calculo.</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21</w:t>
      </w:r>
      <w:r w:rsidRPr="00AE3820">
        <w:rPr>
          <w:rFonts w:ascii="Times New Roman" w:hAnsi="Times New Roman" w:cs="Times New Roman"/>
          <w:szCs w:val="24"/>
        </w:rPr>
        <w:t xml:space="preserve"> – Na execução do orçamento, verificado que o comportamento da receita poderá afetar o cumprimento das metas fiscais bem como o resultado primário e nominal, os Poderes Legislativo e Executivo, de forma proporcional as suas dotações e observadas a fonte de recursos, adotarão o mecanismo de limitação de empenhos e movimentação financeira nos montantes necessários para as dotações abaixo:</w:t>
      </w:r>
    </w:p>
    <w:p w:rsidR="00AE3820" w:rsidRPr="00AE3820" w:rsidRDefault="00AE3820" w:rsidP="00AE3820">
      <w:pPr>
        <w:numPr>
          <w:ilvl w:val="0"/>
          <w:numId w:val="2"/>
        </w:numPr>
        <w:tabs>
          <w:tab w:val="clear" w:pos="318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projetos ou atividades vinculadas a recursos oriundos de transferência voluntárias;</w:t>
      </w:r>
    </w:p>
    <w:p w:rsidR="00AE3820" w:rsidRPr="00AE3820" w:rsidRDefault="00AE3820" w:rsidP="00AE3820">
      <w:pPr>
        <w:numPr>
          <w:ilvl w:val="0"/>
          <w:numId w:val="2"/>
        </w:numPr>
        <w:tabs>
          <w:tab w:val="clear" w:pos="318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obras em geral, desde que ainda não tenha iniciadas;</w:t>
      </w:r>
    </w:p>
    <w:p w:rsidR="00AE3820" w:rsidRPr="00AE3820" w:rsidRDefault="00AE3820" w:rsidP="00AE3820">
      <w:pPr>
        <w:numPr>
          <w:ilvl w:val="0"/>
          <w:numId w:val="2"/>
        </w:numPr>
        <w:tabs>
          <w:tab w:val="clear" w:pos="318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 xml:space="preserve"> dotação para combustíveis, obras, serviços públicos e agricultura; e</w:t>
      </w:r>
    </w:p>
    <w:p w:rsidR="00AE3820" w:rsidRPr="00AE3820" w:rsidRDefault="00AE3820" w:rsidP="00AE3820">
      <w:pPr>
        <w:numPr>
          <w:ilvl w:val="0"/>
          <w:numId w:val="2"/>
        </w:numPr>
        <w:tabs>
          <w:tab w:val="clear" w:pos="318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 xml:space="preserve"> dotação para material de consumo e outros serviços de terceiros das diversas atividades.</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1º-</w:t>
      </w:r>
      <w:r w:rsidRPr="00AE3820">
        <w:rPr>
          <w:rFonts w:ascii="Times New Roman" w:hAnsi="Times New Roman" w:cs="Times New Roman"/>
          <w:szCs w:val="24"/>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anterior, em cada fonte de recursos.</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2º- </w:t>
      </w:r>
      <w:r w:rsidRPr="00AE3820">
        <w:rPr>
          <w:rFonts w:ascii="Times New Roman" w:hAnsi="Times New Roman" w:cs="Times New Roman"/>
          <w:szCs w:val="24"/>
        </w:rPr>
        <w:t xml:space="preserve">Poderá ainda a redução recair sobre outras dotações que serão devidamente analisadas pelos Gestores de cada Poder, com exceção das despesas que </w:t>
      </w:r>
      <w:r w:rsidRPr="00AE3820">
        <w:rPr>
          <w:rFonts w:ascii="Times New Roman" w:hAnsi="Times New Roman" w:cs="Times New Roman"/>
          <w:szCs w:val="24"/>
        </w:rPr>
        <w:lastRenderedPageBreak/>
        <w:t>constituem obrigações constitucionais e legais do Município, dentre elas às destinadas ao pagamento da dívida pública.</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3º</w:t>
      </w:r>
      <w:r w:rsidRPr="00AE3820">
        <w:rPr>
          <w:rFonts w:ascii="Times New Roman" w:hAnsi="Times New Roman" w:cs="Times New Roman"/>
          <w:szCs w:val="24"/>
        </w:rPr>
        <w:t xml:space="preserve"> - Quando a diferença na arrecadação ocorrer nas receitas advindas do FUNDEB ou dos Fundos Federal e Estadual de Saúde, a redução será implementada pelo Poder Executivo, no âmbito exclusivo de seus créditos orçamentários. </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4º -</w:t>
      </w:r>
      <w:r w:rsidRPr="00AE3820">
        <w:rPr>
          <w:rFonts w:ascii="Times New Roman" w:hAnsi="Times New Roman" w:cs="Times New Roman"/>
          <w:szCs w:val="24"/>
        </w:rPr>
        <w:t xml:space="preserve"> Após restabelecimento da receita prevista, total ou parcialmente, a recomposição das dotações anteriormente limitadas será elaborada por meio de ato de cada Poder. </w:t>
      </w:r>
    </w:p>
    <w:p w:rsidR="00AE3820" w:rsidRPr="00AE3820" w:rsidRDefault="00AE3820" w:rsidP="00AE3820">
      <w:pPr>
        <w:spacing w:line="360" w:lineRule="auto"/>
        <w:ind w:firstLine="1440"/>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22- </w:t>
      </w:r>
      <w:r w:rsidRPr="00AE3820">
        <w:rPr>
          <w:rFonts w:ascii="Times New Roman" w:hAnsi="Times New Roman" w:cs="Times New Roman"/>
          <w:szCs w:val="24"/>
        </w:rPr>
        <w:t>As Despesas obrigatórias de Caráter Continuado em relação à Receita Corrente Liquida para o exercício financeiro de 2020 será expandidas em até 3,5%, tomando-se por base as Despesas Obrigatórias de Caráter Continuado fixadas na Lei Orçamentária Anual de 2018, bem como só serão contemplada aquelas fixadas na Lei Orçamentária Anual bem como  no Plano Plurianual.</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23 – </w:t>
      </w:r>
      <w:r w:rsidRPr="00AE3820">
        <w:rPr>
          <w:rFonts w:ascii="Times New Roman" w:hAnsi="Times New Roman" w:cs="Times New Roman"/>
          <w:szCs w:val="24"/>
        </w:rPr>
        <w:t>Constituem Riscos Fiscais capazes de afetar o equilíbrio das contas publicas do município, aqueles constantes do Anexo Próprio desta Lei.</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 Único</w:t>
      </w:r>
      <w:r w:rsidRPr="00AE3820">
        <w:rPr>
          <w:rFonts w:ascii="Times New Roman" w:hAnsi="Times New Roman" w:cs="Times New Roman"/>
          <w:b/>
          <w:bCs/>
          <w:szCs w:val="24"/>
        </w:rPr>
        <w:t xml:space="preserve"> - </w:t>
      </w:r>
      <w:r w:rsidRPr="00AE3820">
        <w:rPr>
          <w:rFonts w:ascii="Times New Roman" w:hAnsi="Times New Roman" w:cs="Times New Roman"/>
          <w:szCs w:val="24"/>
        </w:rPr>
        <w:t>Os riscos fiscais, caso se concretizem, serão atendidos com recursos de Reserva de Contingências e também, se houver, do Exercício de Arrecadação e do Superávit Financeiro do exercício de 2019.</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24</w:t>
      </w:r>
      <w:r w:rsidRPr="00AE3820">
        <w:rPr>
          <w:rFonts w:ascii="Times New Roman" w:hAnsi="Times New Roman" w:cs="Times New Roman"/>
          <w:szCs w:val="24"/>
        </w:rPr>
        <w:t xml:space="preserve"> – A reserva de contingência que consta da Lei destina-se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 artigo 5º III, </w:t>
      </w:r>
      <w:r w:rsidRPr="00AE3820">
        <w:rPr>
          <w:rFonts w:ascii="Times New Roman" w:hAnsi="Times New Roman" w:cs="Times New Roman"/>
          <w:szCs w:val="24"/>
        </w:rPr>
        <w:lastRenderedPageBreak/>
        <w:t xml:space="preserve">“b” da LRF) bem como situações emergenciais e urgentes, nos casos de calamidade pública e outros eventos imprevistos que possam exigir de imediato a atuação do Governo Municipal, equivalente a 1% (um por cento) da receita corrente liquida. </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25 – </w:t>
      </w:r>
      <w:r w:rsidRPr="00AE3820">
        <w:rPr>
          <w:rFonts w:ascii="Times New Roman" w:hAnsi="Times New Roman" w:cs="Times New Roman"/>
          <w:szCs w:val="24"/>
        </w:rPr>
        <w:t>O Chefe do Poder Executivo Municipal estabelecera até 30 dias após a publicação da Lei Orçamentária Anual, a programação financeira das receitas e despesas e o cronograma de execução mensal ou bimestral para as Unidades Gestoras, se for o caso.</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26-</w:t>
      </w:r>
      <w:r w:rsidRPr="00AE3820">
        <w:rPr>
          <w:rFonts w:ascii="Times New Roman" w:hAnsi="Times New Roman" w:cs="Times New Roman"/>
          <w:szCs w:val="24"/>
        </w:rPr>
        <w:t xml:space="preserve"> Os projetos e Atividades priorizadas na Lei Orçamentária Anual para o exercício financeiro de 2020 com dotações vinculadas e fontes de recursos oriundos de transferências voluntárias, operações de credito, alienações de bens e outras extraordinárias, só serão executadas e utilizadas a qualquer titulo, se ocorrer ou estiver garantido o seu ingresso no fluxo de caixa, respeitando ainda o montante ingressado ou garantido.</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b/>
          <w:bCs/>
          <w:szCs w:val="24"/>
        </w:rPr>
      </w:pPr>
      <w:r w:rsidRPr="00AE3820">
        <w:rPr>
          <w:rFonts w:ascii="Times New Roman" w:hAnsi="Times New Roman" w:cs="Times New Roman"/>
          <w:b/>
          <w:bCs/>
          <w:szCs w:val="24"/>
        </w:rPr>
        <w:t xml:space="preserve">Art. 27 – </w:t>
      </w:r>
      <w:r w:rsidRPr="00AE3820">
        <w:rPr>
          <w:rFonts w:ascii="Times New Roman" w:hAnsi="Times New Roman" w:cs="Times New Roman"/>
          <w:szCs w:val="24"/>
        </w:rPr>
        <w:t>A renuncia de receita estimada para o exercício financeiro de 2020, constante do anexo Próprio desta Lei, não será considerada para efeito de calculo do orçamento da receita.</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28 -</w:t>
      </w:r>
      <w:r w:rsidRPr="00AE3820">
        <w:rPr>
          <w:rFonts w:ascii="Times New Roman" w:hAnsi="Times New Roman" w:cs="Times New Roman"/>
          <w:szCs w:val="24"/>
        </w:rPr>
        <w:t xml:space="preserve"> O Poder Executivo poderá firmar convênios ou instrumentos congêneres com outros entes públicos e privados para desenvolvimento de programas prioritários, bem como poderá consignar no orçamento municipal recursos para financiar serviços ou atividades incluídas nas suas funções, típicas ou subsidiarias, a serem executadas por entidades publicas e privadas, e em especial as de cunhos sociais e de ilibada reputação, como aquelas qualificadas como Organização da Sociedade Civil de Interesse Público, previstas na Lei nº 9.790 de 23 de março de 1.999. </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1º -</w:t>
      </w:r>
      <w:r w:rsidRPr="00AE3820">
        <w:rPr>
          <w:rFonts w:ascii="Times New Roman" w:hAnsi="Times New Roman" w:cs="Times New Roman"/>
          <w:szCs w:val="24"/>
        </w:rPr>
        <w:t xml:space="preserve"> As</w:t>
      </w:r>
      <w:r w:rsidRPr="00AE3820">
        <w:rPr>
          <w:rFonts w:ascii="Times New Roman" w:hAnsi="Times New Roman" w:cs="Times New Roman"/>
          <w:b/>
          <w:bCs/>
          <w:szCs w:val="24"/>
        </w:rPr>
        <w:t xml:space="preserve"> </w:t>
      </w:r>
      <w:r w:rsidRPr="00AE3820">
        <w:rPr>
          <w:rFonts w:ascii="Times New Roman" w:hAnsi="Times New Roman" w:cs="Times New Roman"/>
          <w:szCs w:val="24"/>
        </w:rPr>
        <w:t>despesas</w:t>
      </w:r>
      <w:r w:rsidRPr="00AE3820">
        <w:rPr>
          <w:rFonts w:ascii="Times New Roman" w:hAnsi="Times New Roman" w:cs="Times New Roman"/>
          <w:b/>
          <w:bCs/>
          <w:szCs w:val="24"/>
        </w:rPr>
        <w:t xml:space="preserve"> </w:t>
      </w:r>
      <w:r w:rsidRPr="00AE3820">
        <w:rPr>
          <w:rFonts w:ascii="Times New Roman" w:hAnsi="Times New Roman" w:cs="Times New Roman"/>
          <w:szCs w:val="24"/>
        </w:rPr>
        <w:t xml:space="preserve">de competência de outros entes da federação só serão assumidas pela Administração Municipal quando firmados convênios, acordos ou </w:t>
      </w:r>
      <w:r w:rsidRPr="00AE3820">
        <w:rPr>
          <w:rFonts w:ascii="Times New Roman" w:hAnsi="Times New Roman" w:cs="Times New Roman"/>
          <w:szCs w:val="24"/>
        </w:rPr>
        <w:lastRenderedPageBreak/>
        <w:t>ajustes e previstos recursos na lei orçamentária; Assim como a transferência de recursos oriundas do Tesouro Municipal a entidades publicas e privadas, somente beneficiara aqueles de caráter educativo, assistencial, recreativo, cultural, esportivo, de cooperação técnica e voltadas para o fortalecimento do associativismo municipal.</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2º – </w:t>
      </w:r>
      <w:r w:rsidRPr="00AE3820">
        <w:rPr>
          <w:rFonts w:ascii="Times New Roman" w:hAnsi="Times New Roman" w:cs="Times New Roman"/>
          <w:szCs w:val="24"/>
        </w:rPr>
        <w:t xml:space="preserve">As entidades ora beneficiadas com recursos do Tesouro Municipal deverá prestar contas no prazo de 30 (trinta) dias, contados do recebimento do recurso, na forma estabelecida pelo serviço de contabilidade municipal (art. 70, parágrafo único da CF). </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29- </w:t>
      </w:r>
      <w:r w:rsidRPr="00AE3820">
        <w:rPr>
          <w:rFonts w:ascii="Times New Roman" w:hAnsi="Times New Roman" w:cs="Times New Roman"/>
          <w:szCs w:val="24"/>
        </w:rPr>
        <w:t>Os procedimentos administrativos de estimativas do impacto orçamentário – financeiro e declaração do ordenador da despesa de que trata o art. 16, itens I e II da LRF deverão ser inscrito no processo que obriga os autos da licitação ou sua dispensa/inexigibilidade.</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pStyle w:val="Corpodetexto"/>
        <w:ind w:firstLine="3402"/>
        <w:rPr>
          <w:rFonts w:ascii="Times New Roman" w:hAnsi="Times New Roman" w:cs="Times New Roman"/>
          <w:szCs w:val="24"/>
        </w:rPr>
      </w:pPr>
      <w:r w:rsidRPr="00AE3820">
        <w:rPr>
          <w:rFonts w:ascii="Times New Roman" w:hAnsi="Times New Roman" w:cs="Times New Roman"/>
          <w:b/>
          <w:bCs/>
          <w:szCs w:val="24"/>
        </w:rPr>
        <w:t xml:space="preserve">Art. 30 - </w:t>
      </w:r>
      <w:r w:rsidRPr="00AE3820">
        <w:rPr>
          <w:rFonts w:ascii="Times New Roman" w:hAnsi="Times New Roman" w:cs="Times New Roman"/>
          <w:szCs w:val="24"/>
        </w:rPr>
        <w:t xml:space="preserve">consideram-se despesas irrelevantes, aquelas decorrentes da criação, expansão ou aperfeiçoamento da ação governamental que acarrete aumento da despesa, cujo montante no exercício financeiro de 2020 em cada evento, não exceda o valor limite previsto no item I do artigo 24 da Lei nº 8.666/93 devidamente consubstanciado no § 3º, do artigo 16, da Lei Complementar Federal nº 101/2000. </w:t>
      </w:r>
    </w:p>
    <w:p w:rsidR="00AE3820" w:rsidRPr="00AE3820" w:rsidRDefault="00AE3820" w:rsidP="00AE3820">
      <w:pPr>
        <w:pStyle w:val="Corpodetex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31 - </w:t>
      </w:r>
      <w:r w:rsidRPr="00AE3820">
        <w:rPr>
          <w:rFonts w:ascii="Times New Roman" w:hAnsi="Times New Roman" w:cs="Times New Roman"/>
          <w:szCs w:val="24"/>
        </w:rPr>
        <w:t>Será dada prioridade às execuções dos projetos em andamento e conservação do patrimônio público, em detrimento de novos projetos ou ações; salvo projetos programados com recursos de transferência voluntária e operação de credito.</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32- </w:t>
      </w:r>
      <w:r w:rsidRPr="00AE3820">
        <w:rPr>
          <w:rFonts w:ascii="Times New Roman" w:hAnsi="Times New Roman" w:cs="Times New Roman"/>
          <w:szCs w:val="24"/>
        </w:rPr>
        <w:t xml:space="preserve">A previsão das receitas e a fixação das despesas do exercício financeiro de 2020 são orçadas a preços correntes; e a execução do orçamento da Despesa obedecerá, dentro de cada Projeto, Atividade ou Operações Especiais, a dotação fixada para cada </w:t>
      </w:r>
      <w:r w:rsidRPr="00AE3820">
        <w:rPr>
          <w:rFonts w:ascii="Times New Roman" w:hAnsi="Times New Roman" w:cs="Times New Roman"/>
          <w:szCs w:val="24"/>
        </w:rPr>
        <w:lastRenderedPageBreak/>
        <w:t>Grupo de natureza de Despesa/Modalidade de Aplicação, com apropriação das despesas nos respectivos elementos de que trata a Portaria STN nº 163/2001.</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pStyle w:val="Corpodetexto2"/>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33-</w:t>
      </w:r>
      <w:r w:rsidRPr="00AE3820">
        <w:rPr>
          <w:rFonts w:ascii="Times New Roman" w:hAnsi="Times New Roman" w:cs="Times New Roman"/>
          <w:szCs w:val="24"/>
        </w:rPr>
        <w:t xml:space="preserve"> As normas os controles de custos e ações e avaliações dos resultados terá por base as metas fiscais, metas físicas e operações orçamentárias financeiras e patrimoniais.</w:t>
      </w:r>
    </w:p>
    <w:p w:rsidR="00AE3820" w:rsidRPr="00AE3820" w:rsidRDefault="00AE3820" w:rsidP="00AE3820">
      <w:pPr>
        <w:spacing w:line="360" w:lineRule="auto"/>
        <w:ind w:firstLine="3402"/>
        <w:rPr>
          <w:rFonts w:ascii="Times New Roman" w:hAnsi="Times New Roman" w:cs="Times New Roman"/>
          <w:b/>
          <w:bCs/>
          <w:szCs w:val="24"/>
        </w:rPr>
      </w:pPr>
    </w:p>
    <w:p w:rsidR="00AE3820" w:rsidRPr="00AE3820" w:rsidRDefault="00AE3820" w:rsidP="00AE3820">
      <w:pPr>
        <w:pStyle w:val="Ttulo1"/>
        <w:spacing w:line="360" w:lineRule="auto"/>
        <w:rPr>
          <w:sz w:val="24"/>
          <w:szCs w:val="24"/>
        </w:rPr>
      </w:pPr>
      <w:r w:rsidRPr="00AE3820">
        <w:rPr>
          <w:sz w:val="24"/>
          <w:szCs w:val="24"/>
        </w:rPr>
        <w:t>CAPÍTULO V</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jc w:val="center"/>
        <w:rPr>
          <w:rFonts w:ascii="Times New Roman" w:hAnsi="Times New Roman" w:cs="Times New Roman"/>
          <w:b/>
          <w:szCs w:val="24"/>
        </w:rPr>
      </w:pPr>
      <w:r w:rsidRPr="00AE3820">
        <w:rPr>
          <w:rFonts w:ascii="Times New Roman" w:hAnsi="Times New Roman" w:cs="Times New Roman"/>
          <w:b/>
          <w:szCs w:val="24"/>
        </w:rPr>
        <w:t>V- DAS DISPOSIÇÕES SOBRE A DIVIDA PUBLICA</w:t>
      </w:r>
    </w:p>
    <w:p w:rsidR="00AE3820" w:rsidRPr="00AE3820" w:rsidRDefault="00AE3820" w:rsidP="00AE3820">
      <w:pPr>
        <w:spacing w:line="360" w:lineRule="auto"/>
        <w:rPr>
          <w:rFonts w:ascii="Times New Roman" w:hAnsi="Times New Roman" w:cs="Times New Roman"/>
          <w:b/>
          <w:bCs/>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34- </w:t>
      </w:r>
      <w:r w:rsidRPr="00AE3820">
        <w:rPr>
          <w:rFonts w:ascii="Times New Roman" w:hAnsi="Times New Roman" w:cs="Times New Roman"/>
          <w:szCs w:val="24"/>
        </w:rPr>
        <w:t>A Lei Orçamentária Anual do exercício financeiro de 2020 conter-se-á autorização para contratação de Operação de Credito para atendimento a Despesa de Capital, observado o limite de endividamento, de até 50% das Receitas Correntes Liquidas apuradas até o final do semestre anterior a assinatura do contrato, na forma estabelecida na LRF (art. 30,31 e 32).</w:t>
      </w:r>
    </w:p>
    <w:p w:rsidR="00AE3820" w:rsidRPr="00AE3820" w:rsidRDefault="00AE3820" w:rsidP="00AE3820">
      <w:pPr>
        <w:spacing w:line="360" w:lineRule="auto"/>
        <w:ind w:firstLine="3402"/>
        <w:rPr>
          <w:rFonts w:ascii="Times New Roman" w:hAnsi="Times New Roman" w:cs="Times New Roman"/>
          <w:b/>
          <w:bCs/>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35- </w:t>
      </w:r>
      <w:r w:rsidRPr="00AE3820">
        <w:rPr>
          <w:rFonts w:ascii="Times New Roman" w:hAnsi="Times New Roman" w:cs="Times New Roman"/>
          <w:szCs w:val="24"/>
        </w:rPr>
        <w:t xml:space="preserve">Ultrapassado o limite de endividamento definido na legislação pertinente e enquanto perdurar o excesso, o Poder Executivo obterá resultado primário necessário através da limitação de empenho e movimentação financeira. </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pStyle w:val="Ttulo1"/>
        <w:spacing w:line="360" w:lineRule="auto"/>
        <w:rPr>
          <w:sz w:val="24"/>
          <w:szCs w:val="24"/>
        </w:rPr>
      </w:pPr>
      <w:r w:rsidRPr="00AE3820">
        <w:rPr>
          <w:sz w:val="24"/>
          <w:szCs w:val="24"/>
        </w:rPr>
        <w:t>CAPÍTULO VI</w:t>
      </w:r>
    </w:p>
    <w:p w:rsidR="00AE3820" w:rsidRPr="00AE3820" w:rsidRDefault="00AE3820" w:rsidP="00AE3820">
      <w:pPr>
        <w:spacing w:line="360" w:lineRule="auto"/>
        <w:jc w:val="center"/>
        <w:rPr>
          <w:rFonts w:ascii="Times New Roman" w:hAnsi="Times New Roman" w:cs="Times New Roman"/>
          <w:szCs w:val="24"/>
        </w:rPr>
      </w:pPr>
    </w:p>
    <w:p w:rsidR="00AE3820" w:rsidRPr="00AE3820" w:rsidRDefault="00AE3820" w:rsidP="00AE3820">
      <w:pPr>
        <w:spacing w:line="360" w:lineRule="auto"/>
        <w:jc w:val="center"/>
        <w:rPr>
          <w:rFonts w:ascii="Times New Roman" w:hAnsi="Times New Roman" w:cs="Times New Roman"/>
          <w:b/>
          <w:szCs w:val="24"/>
        </w:rPr>
      </w:pPr>
      <w:r w:rsidRPr="00AE3820">
        <w:rPr>
          <w:rFonts w:ascii="Times New Roman" w:hAnsi="Times New Roman" w:cs="Times New Roman"/>
          <w:b/>
          <w:szCs w:val="24"/>
        </w:rPr>
        <w:t>VI - DAS DISPOSIÇÕES RELATIVAS ÀS DESPESAS DO MUNICÍPIO COM PESSOAL E ENCARGOS SOCIAIS</w:t>
      </w:r>
    </w:p>
    <w:p w:rsidR="00AE3820" w:rsidRPr="00AE3820" w:rsidRDefault="00AE3820" w:rsidP="00AE3820">
      <w:pPr>
        <w:spacing w:line="360" w:lineRule="auto"/>
        <w:ind w:left="1440"/>
        <w:rPr>
          <w:rFonts w:ascii="Times New Roman" w:hAnsi="Times New Roman" w:cs="Times New Roman"/>
          <w:b/>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lastRenderedPageBreak/>
        <w:t xml:space="preserve">Art. 36- </w:t>
      </w:r>
      <w:r w:rsidRPr="00AE3820">
        <w:rPr>
          <w:rFonts w:ascii="Times New Roman" w:hAnsi="Times New Roman" w:cs="Times New Roman"/>
          <w:szCs w:val="24"/>
        </w:rPr>
        <w:t>O Executivo e o Legislativo Municipal, mediante lei autorizativa, poderá no exercício financeiro de 2020, criar cargos e funções,alterar a estrutura de carreira,  corrigir ou aumentar a remuneração de servidores, conceder vantagens, admitir pessoal aprovado em concurso publico ou caráter temporário na forma da lei, observados os limites e as regras da LRF (art. 169 § 1º II da CF).</w:t>
      </w:r>
    </w:p>
    <w:p w:rsidR="00AE3820" w:rsidRPr="00AE3820" w:rsidRDefault="00AE3820" w:rsidP="00AE3820">
      <w:pPr>
        <w:spacing w:line="360" w:lineRule="auto"/>
        <w:ind w:firstLine="3402"/>
        <w:rPr>
          <w:rFonts w:ascii="Times New Roman" w:hAnsi="Times New Roman" w:cs="Times New Roman"/>
          <w:b/>
          <w:szCs w:val="24"/>
        </w:rPr>
      </w:pPr>
    </w:p>
    <w:p w:rsidR="00AE3820" w:rsidRPr="00AE3820" w:rsidRDefault="00AE3820" w:rsidP="00AE3820">
      <w:pPr>
        <w:spacing w:line="360" w:lineRule="auto"/>
        <w:ind w:firstLine="3402"/>
        <w:rPr>
          <w:rFonts w:ascii="Times New Roman" w:hAnsi="Times New Roman" w:cs="Times New Roman"/>
          <w:bCs/>
          <w:szCs w:val="24"/>
        </w:rPr>
      </w:pPr>
      <w:r w:rsidRPr="00AE3820">
        <w:rPr>
          <w:rFonts w:ascii="Times New Roman" w:hAnsi="Times New Roman" w:cs="Times New Roman"/>
          <w:b/>
          <w:szCs w:val="24"/>
        </w:rPr>
        <w:t xml:space="preserve">Parágrafo Único- </w:t>
      </w:r>
      <w:r w:rsidRPr="00AE3820">
        <w:rPr>
          <w:rFonts w:ascii="Times New Roman" w:hAnsi="Times New Roman" w:cs="Times New Roman"/>
          <w:bCs/>
          <w:szCs w:val="24"/>
        </w:rPr>
        <w:t>Os recursos financeiros para cobrir as despesas decorrentes destes atos deverão estar previstos na lei de orçamento anual para o exercício financeiro de 2020.</w:t>
      </w:r>
    </w:p>
    <w:p w:rsidR="00AE3820" w:rsidRPr="00AE3820" w:rsidRDefault="00AE3820" w:rsidP="00AE3820">
      <w:pPr>
        <w:spacing w:line="360" w:lineRule="auto"/>
        <w:ind w:firstLine="3402"/>
        <w:rPr>
          <w:rFonts w:ascii="Times New Roman" w:hAnsi="Times New Roman" w:cs="Times New Roman"/>
          <w:bCs/>
          <w:szCs w:val="24"/>
        </w:rPr>
      </w:pPr>
    </w:p>
    <w:p w:rsidR="00AE3820" w:rsidRPr="00AE3820" w:rsidRDefault="00AE3820" w:rsidP="00AE3820">
      <w:pPr>
        <w:pStyle w:val="Corpodetexto3"/>
        <w:spacing w:line="360" w:lineRule="auto"/>
        <w:ind w:firstLine="3402"/>
        <w:rPr>
          <w:rFonts w:ascii="Times New Roman" w:hAnsi="Times New Roman" w:cs="Times New Roman"/>
          <w:sz w:val="24"/>
          <w:szCs w:val="24"/>
        </w:rPr>
      </w:pPr>
      <w:r w:rsidRPr="00AE3820">
        <w:rPr>
          <w:rFonts w:ascii="Times New Roman" w:hAnsi="Times New Roman" w:cs="Times New Roman"/>
          <w:b/>
          <w:bCs/>
          <w:sz w:val="24"/>
          <w:szCs w:val="24"/>
        </w:rPr>
        <w:t>Art. 37 -</w:t>
      </w:r>
      <w:r w:rsidRPr="00AE3820">
        <w:rPr>
          <w:rFonts w:ascii="Times New Roman" w:hAnsi="Times New Roman" w:cs="Times New Roman"/>
          <w:sz w:val="24"/>
          <w:szCs w:val="24"/>
        </w:rPr>
        <w:t xml:space="preserve"> No exercício financeiro de 2020, as despesas com pessoal, ativas e inativas, dos Poderes Legislativo e Executivo observar-se-á rigorosamente, os limites estabelecidos na forma da Lei Complementar - Lei de responsabilidade Fiscal a que se refere o art. 169 da Constituição da República. </w:t>
      </w:r>
    </w:p>
    <w:p w:rsidR="00AE3820" w:rsidRPr="00AE3820" w:rsidRDefault="00AE3820" w:rsidP="00AE3820">
      <w:pPr>
        <w:pStyle w:val="Corpodetexto3"/>
        <w:spacing w:line="360" w:lineRule="auto"/>
        <w:ind w:firstLine="3402"/>
        <w:rPr>
          <w:rFonts w:ascii="Times New Roman" w:hAnsi="Times New Roman" w:cs="Times New Roman"/>
          <w:sz w:val="24"/>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1º -</w:t>
      </w:r>
      <w:r w:rsidRPr="00AE3820">
        <w:rPr>
          <w:rFonts w:ascii="Times New Roman" w:hAnsi="Times New Roman" w:cs="Times New Roman"/>
          <w:szCs w:val="24"/>
        </w:rPr>
        <w:t xml:space="preserve"> Nos casos de necessidade temporária, de excepcional interesse publico, e ou concessão de vantagens tais como (horas extras etc.) ou aumento de remuneração aos servidores fica condicionada ao limite das despesas impostas pelas legislações previstas no caput deste artigo; entretanto devera ser justificado pela autoridade competente, de forma que a Administração Municipal poderá autorizar a realização das vantagens e ou aumento de remuneração para os servidores, desde que as despesas com pessoal não excedam a 95% do limite estabelecido nos artigos 20, III e 22, parágrafo único, V da LRF</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2º -</w:t>
      </w:r>
      <w:r w:rsidRPr="00AE3820">
        <w:rPr>
          <w:rFonts w:ascii="Times New Roman" w:hAnsi="Times New Roman" w:cs="Times New Roman"/>
          <w:szCs w:val="24"/>
        </w:rPr>
        <w:t xml:space="preserve"> Ao Poder Legislativo caberão as providências, no seu âmbito; ressalvada a hipótese do inciso X do artigo 37 da Constituição Federal, a despesa total com pessoal de cada um do Poder Executivo e Legislativo no exercício financeiro de 2020, não excederá em percentual da Receita Corrente Liquida, a despesa verificada no exercício de 2019, acrescida de </w:t>
      </w:r>
      <w:r w:rsidRPr="00AE3820">
        <w:rPr>
          <w:rFonts w:ascii="Times New Roman" w:hAnsi="Times New Roman" w:cs="Times New Roman"/>
          <w:szCs w:val="24"/>
        </w:rPr>
        <w:lastRenderedPageBreak/>
        <w:t>5%, obedecido o limites prudencial de 51,30% e 5,70 da Receita corrente Liquida respectivamente, para o fiel cumprimento dos limites de despesas com pessoal, com fulcro no artigo 71 da LRF, se esta for inferior ao limite definido no art. 20, III, “a”, do mesmo Diploma Legal.</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38 -</w:t>
      </w:r>
      <w:r w:rsidRPr="00AE3820">
        <w:rPr>
          <w:rFonts w:ascii="Times New Roman" w:hAnsi="Times New Roman" w:cs="Times New Roman"/>
          <w:szCs w:val="24"/>
        </w:rPr>
        <w:t xml:space="preserve"> Atingido o limite da despesa total com pessoal previsto nos arts. 19 e 20 da LC nº 101/2000, deverá os Poderes Executivo e Legislativo, adotar as providencias previstas nos § 3º e 4º do artigo 169 da Constituição Federal combinado com as previsões contidas nos arts. 22 e 23 do mesmo Diploma Legal, senão vejamos:</w:t>
      </w:r>
    </w:p>
    <w:p w:rsidR="00AE3820" w:rsidRPr="00AE3820" w:rsidRDefault="00AE3820" w:rsidP="00AE3820">
      <w:pPr>
        <w:numPr>
          <w:ilvl w:val="0"/>
          <w:numId w:val="3"/>
        </w:numPr>
        <w:tabs>
          <w:tab w:val="clear" w:pos="2160"/>
          <w:tab w:val="num" w:pos="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eliminação de vantagens concedidas a servidores;</w:t>
      </w:r>
    </w:p>
    <w:p w:rsidR="00AE3820" w:rsidRPr="00AE3820" w:rsidRDefault="00AE3820" w:rsidP="00AE3820">
      <w:pPr>
        <w:numPr>
          <w:ilvl w:val="0"/>
          <w:numId w:val="3"/>
        </w:numPr>
        <w:tabs>
          <w:tab w:val="clear" w:pos="2160"/>
          <w:tab w:val="num" w:pos="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eliminação das despesas com horas extras;</w:t>
      </w:r>
    </w:p>
    <w:p w:rsidR="00AE3820" w:rsidRPr="00AE3820" w:rsidRDefault="00AE3820" w:rsidP="00AE3820">
      <w:pPr>
        <w:numPr>
          <w:ilvl w:val="0"/>
          <w:numId w:val="3"/>
        </w:numPr>
        <w:tabs>
          <w:tab w:val="clear" w:pos="2160"/>
          <w:tab w:val="num" w:pos="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exoneração de servidores ocupantes de a cargos em comissão</w:t>
      </w:r>
    </w:p>
    <w:p w:rsidR="00AE3820" w:rsidRPr="00AE3820" w:rsidRDefault="00AE3820" w:rsidP="00AE3820">
      <w:pPr>
        <w:numPr>
          <w:ilvl w:val="0"/>
          <w:numId w:val="3"/>
        </w:numPr>
        <w:tabs>
          <w:tab w:val="clear" w:pos="2160"/>
          <w:tab w:val="num" w:pos="0"/>
        </w:tabs>
        <w:spacing w:after="0" w:line="360" w:lineRule="auto"/>
        <w:ind w:left="0" w:firstLine="0"/>
        <w:rPr>
          <w:rFonts w:ascii="Times New Roman" w:hAnsi="Times New Roman" w:cs="Times New Roman"/>
          <w:szCs w:val="24"/>
        </w:rPr>
      </w:pPr>
      <w:r w:rsidRPr="00AE3820">
        <w:rPr>
          <w:rFonts w:ascii="Times New Roman" w:hAnsi="Times New Roman" w:cs="Times New Roman"/>
          <w:szCs w:val="24"/>
        </w:rPr>
        <w:t>demissão de servidores admitidos em caráter temporário.</w:t>
      </w:r>
    </w:p>
    <w:p w:rsidR="00AE3820" w:rsidRPr="00AE3820" w:rsidRDefault="00AE3820" w:rsidP="00AE3820">
      <w:pPr>
        <w:tabs>
          <w:tab w:val="num" w:pos="0"/>
        </w:tabs>
        <w:spacing w:line="360" w:lineRule="auto"/>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39 -</w:t>
      </w:r>
      <w:r w:rsidRPr="00AE3820">
        <w:rPr>
          <w:rFonts w:ascii="Times New Roman" w:hAnsi="Times New Roman" w:cs="Times New Roman"/>
          <w:szCs w:val="24"/>
        </w:rPr>
        <w:t xml:space="preserve"> O total de despesa do Legislativo, incluído os subsídios dos Vereadores e excluídos os gastos com inativos, não poderá ultrapassar os percentuais previstos no art. 29-A da Constituição da República introduzido pela EC nº 25, de 14/02/2000, alterada pela EC 58 de 23/09/09.</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40 –</w:t>
      </w:r>
      <w:r w:rsidRPr="00AE3820">
        <w:rPr>
          <w:rFonts w:ascii="Times New Roman" w:hAnsi="Times New Roman" w:cs="Times New Roman"/>
          <w:szCs w:val="24"/>
        </w:rPr>
        <w:t xml:space="preserve"> Para efeito desta Lei e registros contábeis, entende-se como terceirização de mão - de - obra referente substituição de servidores de que trata o artigo 18, § 1º da LRF, a contratação de mão-de-obra cujas atividades ou funções guardem relação com a atividade ou funções previstas no Plano de Cargos da Administração Municipal, ou ainda, atividades próprias da Administração Pública Municipal, desde que, em ambos os casos, não haja utilização de materiais ou equipamentos de propriedade do contratado ou de terceiros.</w:t>
      </w:r>
    </w:p>
    <w:p w:rsidR="00AE3820" w:rsidRPr="00AE3820" w:rsidRDefault="00AE3820" w:rsidP="00AE3820">
      <w:pPr>
        <w:spacing w:line="360" w:lineRule="auto"/>
        <w:ind w:firstLine="3402"/>
        <w:rPr>
          <w:rFonts w:ascii="Times New Roman" w:hAnsi="Times New Roman" w:cs="Times New Roman"/>
          <w:b/>
          <w:bCs/>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Parágrafo Único - </w:t>
      </w:r>
      <w:r w:rsidRPr="00AE3820">
        <w:rPr>
          <w:rFonts w:ascii="Times New Roman" w:hAnsi="Times New Roman" w:cs="Times New Roman"/>
          <w:szCs w:val="24"/>
        </w:rPr>
        <w:t xml:space="preserve">Quando a contratação de mão-de-obra envolver também fornecimento de materiais ou utilização de equipamentos de propriedade do contrato ou de </w:t>
      </w:r>
      <w:r w:rsidRPr="00AE3820">
        <w:rPr>
          <w:rFonts w:ascii="Times New Roman" w:hAnsi="Times New Roman" w:cs="Times New Roman"/>
          <w:szCs w:val="24"/>
        </w:rPr>
        <w:lastRenderedPageBreak/>
        <w:t>terceiros, por não caracterizar substituição de servidores, a despesa será classificada em outros elementos de despesas que não o “34 – Outras despesas decorrentes de contratos de Terceirização”.</w:t>
      </w:r>
    </w:p>
    <w:p w:rsidR="00AE3820" w:rsidRPr="00AE3820" w:rsidRDefault="00AE3820" w:rsidP="00AE3820">
      <w:pPr>
        <w:spacing w:line="360" w:lineRule="auto"/>
        <w:rPr>
          <w:rFonts w:ascii="Times New Roman" w:hAnsi="Times New Roman" w:cs="Times New Roman"/>
          <w:b/>
          <w:bCs/>
          <w:szCs w:val="24"/>
        </w:rPr>
      </w:pPr>
      <w:r w:rsidRPr="00AE3820">
        <w:rPr>
          <w:rFonts w:ascii="Times New Roman" w:hAnsi="Times New Roman" w:cs="Times New Roman"/>
          <w:szCs w:val="24"/>
        </w:rPr>
        <w:t xml:space="preserve">         </w:t>
      </w:r>
    </w:p>
    <w:p w:rsidR="00AE3820" w:rsidRPr="00AE3820" w:rsidRDefault="00AE3820" w:rsidP="00AE3820">
      <w:pPr>
        <w:pStyle w:val="Ttulo1"/>
        <w:spacing w:line="360" w:lineRule="auto"/>
        <w:rPr>
          <w:sz w:val="24"/>
          <w:szCs w:val="24"/>
        </w:rPr>
      </w:pPr>
    </w:p>
    <w:p w:rsidR="00AE3820" w:rsidRPr="00AE3820" w:rsidRDefault="00AE3820" w:rsidP="00AE3820">
      <w:pPr>
        <w:pStyle w:val="Ttulo1"/>
        <w:spacing w:line="360" w:lineRule="auto"/>
        <w:rPr>
          <w:sz w:val="24"/>
          <w:szCs w:val="24"/>
        </w:rPr>
      </w:pPr>
      <w:r w:rsidRPr="00AE3820">
        <w:rPr>
          <w:sz w:val="24"/>
          <w:szCs w:val="24"/>
        </w:rPr>
        <w:t>CAPÍTULO VII</w:t>
      </w:r>
    </w:p>
    <w:p w:rsidR="00AE3820" w:rsidRPr="00AE3820" w:rsidRDefault="00AE3820" w:rsidP="00AE3820">
      <w:pPr>
        <w:rPr>
          <w:rFonts w:ascii="Times New Roman" w:hAnsi="Times New Roman" w:cs="Times New Roman"/>
          <w:szCs w:val="24"/>
        </w:rPr>
      </w:pPr>
    </w:p>
    <w:p w:rsidR="00AE3820" w:rsidRPr="00AE3820" w:rsidRDefault="00AE3820" w:rsidP="00AE3820">
      <w:pPr>
        <w:spacing w:line="360" w:lineRule="auto"/>
        <w:jc w:val="center"/>
        <w:rPr>
          <w:rFonts w:ascii="Times New Roman" w:hAnsi="Times New Roman" w:cs="Times New Roman"/>
          <w:b/>
          <w:szCs w:val="24"/>
        </w:rPr>
      </w:pPr>
      <w:r w:rsidRPr="00AE3820">
        <w:rPr>
          <w:rFonts w:ascii="Times New Roman" w:hAnsi="Times New Roman" w:cs="Times New Roman"/>
          <w:b/>
          <w:szCs w:val="24"/>
        </w:rPr>
        <w:t>DAS DISPOSIÇÕES SOBRE ALTERAÇÕES NA LEGISLAÇÃO TRIBUTÁRIA</w:t>
      </w:r>
    </w:p>
    <w:p w:rsidR="00AE3820" w:rsidRPr="00AE3820" w:rsidRDefault="00AE3820" w:rsidP="00AE3820">
      <w:pPr>
        <w:spacing w:line="360" w:lineRule="auto"/>
        <w:ind w:left="1440"/>
        <w:rPr>
          <w:rFonts w:ascii="Times New Roman" w:hAnsi="Times New Roman" w:cs="Times New Roman"/>
          <w:b/>
          <w:szCs w:val="24"/>
        </w:rPr>
      </w:pPr>
    </w:p>
    <w:p w:rsidR="00AE3820" w:rsidRPr="00AE3820" w:rsidRDefault="00AE3820" w:rsidP="00AE3820">
      <w:pPr>
        <w:pStyle w:val="Corpodetexto2"/>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41 -</w:t>
      </w:r>
      <w:r w:rsidRPr="00AE3820">
        <w:rPr>
          <w:rFonts w:ascii="Times New Roman" w:hAnsi="Times New Roman" w:cs="Times New Roman"/>
          <w:szCs w:val="24"/>
        </w:rPr>
        <w:t xml:space="preserve"> A lei que conceder ou ampliar beneficio fiscal  de natureza tributária ou financeira, somente entrará em  vigor  quando  acompanhada  de medidas de compensação, que será proveniente da  elevação de alíquotas, ampliação da base de calculo, majoração ou na criação de tributo ou contribuição, conforme prevê o art. 14 da LC nº 101, de 04/05/2000.</w:t>
      </w:r>
    </w:p>
    <w:p w:rsidR="00AE3820" w:rsidRPr="00AE3820" w:rsidRDefault="00AE3820" w:rsidP="00AE3820">
      <w:pPr>
        <w:pStyle w:val="Corpodetexto2"/>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42 -</w:t>
      </w:r>
      <w:r w:rsidRPr="00AE3820">
        <w:rPr>
          <w:rFonts w:ascii="Times New Roman" w:hAnsi="Times New Roman" w:cs="Times New Roman"/>
          <w:szCs w:val="24"/>
        </w:rPr>
        <w:t xml:space="preserve"> Na estimativa das receitas do projeto de lei orçamentária anual poderão ser considerados os efeitos de eventuais propostas de alterações na legislação tributária, podendo, ainda, ser levado em conta:</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ind w:left="600"/>
        <w:rPr>
          <w:rFonts w:ascii="Times New Roman" w:hAnsi="Times New Roman" w:cs="Times New Roman"/>
          <w:szCs w:val="24"/>
        </w:rPr>
      </w:pPr>
      <w:r w:rsidRPr="00AE3820">
        <w:rPr>
          <w:rFonts w:ascii="Times New Roman" w:hAnsi="Times New Roman" w:cs="Times New Roman"/>
          <w:b/>
          <w:bCs/>
          <w:szCs w:val="24"/>
        </w:rPr>
        <w:t>I</w:t>
      </w:r>
      <w:r w:rsidRPr="00AE3820">
        <w:rPr>
          <w:rFonts w:ascii="Times New Roman" w:hAnsi="Times New Roman" w:cs="Times New Roman"/>
          <w:szCs w:val="24"/>
        </w:rPr>
        <w:t xml:space="preserve"> – os fatores conjunturais que possam vir a influenciar a produtividade de cada fonte; </w:t>
      </w:r>
    </w:p>
    <w:p w:rsidR="00AE3820" w:rsidRPr="00AE3820" w:rsidRDefault="00AE3820" w:rsidP="00AE3820">
      <w:pPr>
        <w:spacing w:line="360" w:lineRule="auto"/>
        <w:ind w:left="600"/>
        <w:rPr>
          <w:rFonts w:ascii="Times New Roman" w:hAnsi="Times New Roman" w:cs="Times New Roman"/>
          <w:szCs w:val="24"/>
        </w:rPr>
      </w:pPr>
      <w:r w:rsidRPr="00AE3820">
        <w:rPr>
          <w:rFonts w:ascii="Times New Roman" w:hAnsi="Times New Roman" w:cs="Times New Roman"/>
          <w:b/>
          <w:bCs/>
          <w:szCs w:val="24"/>
        </w:rPr>
        <w:t>II</w:t>
      </w:r>
      <w:r w:rsidRPr="00AE3820">
        <w:rPr>
          <w:rFonts w:ascii="Times New Roman" w:hAnsi="Times New Roman" w:cs="Times New Roman"/>
          <w:szCs w:val="24"/>
        </w:rPr>
        <w:t xml:space="preserve"> – a carga de trabalho estimada para o serviço quando este for remunerado; </w:t>
      </w:r>
    </w:p>
    <w:p w:rsidR="00AE3820" w:rsidRPr="00AE3820" w:rsidRDefault="00AE3820" w:rsidP="00AE3820">
      <w:pPr>
        <w:spacing w:line="360" w:lineRule="auto"/>
        <w:ind w:left="600"/>
        <w:rPr>
          <w:rFonts w:ascii="Times New Roman" w:hAnsi="Times New Roman" w:cs="Times New Roman"/>
          <w:szCs w:val="24"/>
        </w:rPr>
      </w:pPr>
      <w:r w:rsidRPr="00AE3820">
        <w:rPr>
          <w:rFonts w:ascii="Times New Roman" w:hAnsi="Times New Roman" w:cs="Times New Roman"/>
          <w:b/>
          <w:bCs/>
          <w:szCs w:val="24"/>
        </w:rPr>
        <w:t>III</w:t>
      </w:r>
      <w:r w:rsidRPr="00AE3820">
        <w:rPr>
          <w:rFonts w:ascii="Times New Roman" w:hAnsi="Times New Roman" w:cs="Times New Roman"/>
          <w:szCs w:val="24"/>
        </w:rPr>
        <w:t xml:space="preserve"> – os fatores, internos e externos, que influenciam na arrecadação dos tributos;</w:t>
      </w:r>
    </w:p>
    <w:p w:rsidR="00AE3820" w:rsidRPr="00AE3820" w:rsidRDefault="00AE3820" w:rsidP="00AE3820">
      <w:pPr>
        <w:spacing w:line="360" w:lineRule="auto"/>
        <w:ind w:left="600"/>
        <w:rPr>
          <w:rFonts w:ascii="Times New Roman" w:hAnsi="Times New Roman" w:cs="Times New Roman"/>
          <w:szCs w:val="24"/>
        </w:rPr>
      </w:pPr>
      <w:r w:rsidRPr="00AE3820">
        <w:rPr>
          <w:rFonts w:ascii="Times New Roman" w:hAnsi="Times New Roman" w:cs="Times New Roman"/>
          <w:b/>
          <w:bCs/>
          <w:szCs w:val="24"/>
        </w:rPr>
        <w:t>IV</w:t>
      </w:r>
      <w:r w:rsidRPr="00AE3820">
        <w:rPr>
          <w:rFonts w:ascii="Times New Roman" w:hAnsi="Times New Roman" w:cs="Times New Roman"/>
          <w:szCs w:val="24"/>
        </w:rPr>
        <w:t xml:space="preserve"> – a eficiência e a eficácia pretendida na arrecadação e cobrança de tributos;</w:t>
      </w:r>
    </w:p>
    <w:p w:rsidR="00AE3820" w:rsidRPr="00AE3820" w:rsidRDefault="00AE3820" w:rsidP="00AE3820">
      <w:pPr>
        <w:spacing w:line="360" w:lineRule="auto"/>
        <w:ind w:left="600"/>
        <w:rPr>
          <w:rFonts w:ascii="Times New Roman" w:hAnsi="Times New Roman" w:cs="Times New Roman"/>
          <w:szCs w:val="24"/>
        </w:rPr>
      </w:pPr>
      <w:r w:rsidRPr="00AE3820">
        <w:rPr>
          <w:rFonts w:ascii="Times New Roman" w:hAnsi="Times New Roman" w:cs="Times New Roman"/>
          <w:b/>
          <w:bCs/>
          <w:szCs w:val="24"/>
        </w:rPr>
        <w:t>V</w:t>
      </w:r>
      <w:r w:rsidRPr="00AE3820">
        <w:rPr>
          <w:rFonts w:ascii="Times New Roman" w:hAnsi="Times New Roman" w:cs="Times New Roman"/>
          <w:szCs w:val="24"/>
        </w:rPr>
        <w:t xml:space="preserve"> – o estoque e a qualidade dos créditos duvidosos;</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43 -</w:t>
      </w:r>
      <w:r w:rsidRPr="00AE3820">
        <w:rPr>
          <w:rFonts w:ascii="Times New Roman" w:hAnsi="Times New Roman" w:cs="Times New Roman"/>
          <w:szCs w:val="24"/>
        </w:rPr>
        <w:t xml:space="preserve"> O Poder Executivo fica obrigado a arrecadar todos os impostos de sua competência, nos termos do art. 11 da LC n. 101, de 04/05/2000, exceto os tributos lançados e não arrecadados, inscrito em divida ativa cujos custos para cobrança sejam superiores ao </w:t>
      </w:r>
      <w:r w:rsidRPr="00AE3820">
        <w:rPr>
          <w:rFonts w:ascii="Times New Roman" w:hAnsi="Times New Roman" w:cs="Times New Roman"/>
          <w:szCs w:val="24"/>
        </w:rPr>
        <w:lastRenderedPageBreak/>
        <w:t>credito tributário, estes são cancelados, sendo os mesmos relacionados e justificando a não constituição como renuncia de receita, previsto no § 3º do artigo 14 da LRF.</w:t>
      </w:r>
    </w:p>
    <w:p w:rsidR="00AE3820" w:rsidRPr="00AE3820" w:rsidRDefault="00AE3820" w:rsidP="00AE3820">
      <w:pPr>
        <w:pStyle w:val="Ttulo1"/>
        <w:spacing w:line="360" w:lineRule="auto"/>
        <w:ind w:firstLine="3402"/>
        <w:rPr>
          <w:sz w:val="24"/>
          <w:szCs w:val="24"/>
        </w:rPr>
      </w:pPr>
    </w:p>
    <w:p w:rsidR="00AE3820" w:rsidRPr="00AE3820" w:rsidRDefault="00AE3820" w:rsidP="00AE3820">
      <w:pPr>
        <w:pStyle w:val="Ttulo1"/>
        <w:spacing w:line="360" w:lineRule="auto"/>
        <w:rPr>
          <w:sz w:val="24"/>
          <w:szCs w:val="24"/>
        </w:rPr>
      </w:pPr>
      <w:r w:rsidRPr="00AE3820">
        <w:rPr>
          <w:sz w:val="24"/>
          <w:szCs w:val="24"/>
        </w:rPr>
        <w:t>CAPÍTULO VIII</w:t>
      </w:r>
    </w:p>
    <w:p w:rsidR="00AE3820" w:rsidRPr="00AE3820" w:rsidRDefault="00AE3820" w:rsidP="00AE3820">
      <w:pPr>
        <w:spacing w:line="360" w:lineRule="auto"/>
        <w:rPr>
          <w:rFonts w:ascii="Times New Roman" w:hAnsi="Times New Roman" w:cs="Times New Roman"/>
          <w:szCs w:val="24"/>
        </w:rPr>
      </w:pPr>
    </w:p>
    <w:p w:rsidR="00AE3820" w:rsidRPr="00AE3820" w:rsidRDefault="00AE3820" w:rsidP="00AE3820">
      <w:pPr>
        <w:spacing w:line="360" w:lineRule="auto"/>
        <w:jc w:val="center"/>
        <w:rPr>
          <w:rFonts w:ascii="Times New Roman" w:hAnsi="Times New Roman" w:cs="Times New Roman"/>
          <w:b/>
          <w:szCs w:val="24"/>
        </w:rPr>
      </w:pPr>
      <w:r w:rsidRPr="00AE3820">
        <w:rPr>
          <w:rFonts w:ascii="Times New Roman" w:hAnsi="Times New Roman" w:cs="Times New Roman"/>
          <w:b/>
          <w:szCs w:val="24"/>
        </w:rPr>
        <w:t>VIII- DAS DISPOSIÇÕES FINAIS</w:t>
      </w:r>
    </w:p>
    <w:p w:rsidR="00AE3820" w:rsidRPr="00AE3820" w:rsidRDefault="00AE3820" w:rsidP="00AE3820">
      <w:pPr>
        <w:spacing w:line="360" w:lineRule="auto"/>
        <w:ind w:firstLine="3402"/>
        <w:rPr>
          <w:rFonts w:ascii="Times New Roman" w:hAnsi="Times New Roman" w:cs="Times New Roman"/>
          <w:b/>
          <w:bCs/>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 Art. 44 -</w:t>
      </w:r>
      <w:r w:rsidRPr="00AE3820">
        <w:rPr>
          <w:rFonts w:ascii="Times New Roman" w:hAnsi="Times New Roman" w:cs="Times New Roman"/>
          <w:szCs w:val="24"/>
        </w:rPr>
        <w:t xml:space="preserve"> O Prefeito Municipal enviará até o dia 30 de setembro de 2019, para a Câmara Municipal, o projeto de lei orçamentária anual de 2020, que será apreciado até o encerramento da Sessão Legislativa. </w:t>
      </w: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1º</w:t>
      </w:r>
      <w:r w:rsidRPr="00AE3820">
        <w:rPr>
          <w:rFonts w:ascii="Times New Roman" w:hAnsi="Times New Roman" w:cs="Times New Roman"/>
          <w:szCs w:val="24"/>
        </w:rPr>
        <w:t xml:space="preserve"> - A Câmara Municipal não entrará em recesso enquanto não cumprir o disposto no “caput” deste artigo.</w:t>
      </w: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szCs w:val="24"/>
        </w:rPr>
        <w:t>Parágrafo</w:t>
      </w:r>
      <w:r w:rsidRPr="00AE3820">
        <w:rPr>
          <w:rFonts w:ascii="Times New Roman" w:hAnsi="Times New Roman" w:cs="Times New Roman"/>
          <w:b/>
          <w:bCs/>
          <w:szCs w:val="24"/>
        </w:rPr>
        <w:t xml:space="preserve"> 2º</w:t>
      </w:r>
      <w:r w:rsidRPr="00AE3820">
        <w:rPr>
          <w:rFonts w:ascii="Times New Roman" w:hAnsi="Times New Roman" w:cs="Times New Roman"/>
          <w:szCs w:val="24"/>
        </w:rPr>
        <w:t xml:space="preserve"> - Se o projeto de lei orçamentária anual sofrer qualquer atraso na sua regular aprovação e sanção, a programação que nele constar poderá ser executada, mês a mês, até o limite de 1/12 (um doze avos) do total de cada dotação.</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pStyle w:val="Corpodetexto2"/>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45 – </w:t>
      </w:r>
      <w:r w:rsidRPr="00AE3820">
        <w:rPr>
          <w:rFonts w:ascii="Times New Roman" w:hAnsi="Times New Roman" w:cs="Times New Roman"/>
          <w:szCs w:val="24"/>
        </w:rPr>
        <w:t xml:space="preserve">Fica o Poder Executivo autorizado a considerar legal; as despesas com multas e juros pelo eventual atraso no pagamento de compromissos assumidos, motivados por insuficiência de tesouraria.  </w:t>
      </w:r>
    </w:p>
    <w:p w:rsidR="00AE3820" w:rsidRPr="00AE3820" w:rsidRDefault="00AE3820" w:rsidP="00AE3820">
      <w:pPr>
        <w:pStyle w:val="Corpodetexto2"/>
        <w:spacing w:line="360" w:lineRule="auto"/>
        <w:ind w:firstLine="3402"/>
        <w:rPr>
          <w:rFonts w:ascii="Times New Roman" w:hAnsi="Times New Roman" w:cs="Times New Roman"/>
          <w:szCs w:val="24"/>
        </w:rPr>
      </w:pPr>
    </w:p>
    <w:p w:rsidR="00AE3820" w:rsidRPr="00AE3820" w:rsidRDefault="00AE3820" w:rsidP="00AE3820">
      <w:pPr>
        <w:pStyle w:val="Corpodetexto2"/>
        <w:spacing w:line="360" w:lineRule="auto"/>
        <w:ind w:firstLine="3402"/>
        <w:rPr>
          <w:rFonts w:ascii="Times New Roman" w:hAnsi="Times New Roman" w:cs="Times New Roman"/>
          <w:b/>
          <w:bCs/>
          <w:szCs w:val="24"/>
        </w:rPr>
      </w:pPr>
      <w:r w:rsidRPr="00AE3820">
        <w:rPr>
          <w:rFonts w:ascii="Times New Roman" w:hAnsi="Times New Roman" w:cs="Times New Roman"/>
          <w:b/>
          <w:bCs/>
          <w:szCs w:val="24"/>
        </w:rPr>
        <w:t xml:space="preserve">Art. 46 – </w:t>
      </w:r>
      <w:r w:rsidRPr="00AE3820">
        <w:rPr>
          <w:rFonts w:ascii="Times New Roman" w:hAnsi="Times New Roman" w:cs="Times New Roman"/>
          <w:szCs w:val="24"/>
        </w:rPr>
        <w:t>Os créditos especiais e extraordinários, abertos nos últimos quatro meses do exercício poderá ser reaberto no exercício subsequente, por ato</w:t>
      </w:r>
      <w:r w:rsidRPr="00AE3820">
        <w:rPr>
          <w:rFonts w:ascii="Times New Roman" w:hAnsi="Times New Roman" w:cs="Times New Roman"/>
          <w:b/>
          <w:bCs/>
          <w:szCs w:val="24"/>
        </w:rPr>
        <w:t xml:space="preserve">  </w:t>
      </w:r>
      <w:r w:rsidRPr="00AE3820">
        <w:rPr>
          <w:rFonts w:ascii="Times New Roman" w:hAnsi="Times New Roman" w:cs="Times New Roman"/>
          <w:szCs w:val="24"/>
        </w:rPr>
        <w:t>do Chefe do Poder Executivo.</w:t>
      </w: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 xml:space="preserve">Art. 47 – </w:t>
      </w:r>
      <w:r w:rsidRPr="00AE3820">
        <w:rPr>
          <w:rFonts w:ascii="Times New Roman" w:hAnsi="Times New Roman" w:cs="Times New Roman"/>
          <w:szCs w:val="24"/>
        </w:rPr>
        <w:t xml:space="preserve">O Poder Executivo fica autorizado a assinar convênios com o Governo Federal e Estadual por meio dos Órgãos da Administração direta e indireta para realização de obras ou serviços de competência do Município. </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lastRenderedPageBreak/>
        <w:t>Art. 48 -</w:t>
      </w:r>
      <w:r w:rsidRPr="00AE3820">
        <w:rPr>
          <w:rFonts w:ascii="Times New Roman" w:hAnsi="Times New Roman" w:cs="Times New Roman"/>
          <w:szCs w:val="24"/>
        </w:rPr>
        <w:t xml:space="preserve"> Esta Lei entra em vigor na data de sua publicação.</w:t>
      </w:r>
    </w:p>
    <w:p w:rsidR="00AE3820" w:rsidRPr="00AE3820" w:rsidRDefault="00AE3820" w:rsidP="00AE3820">
      <w:pPr>
        <w:spacing w:line="360" w:lineRule="auto"/>
        <w:ind w:firstLine="3402"/>
        <w:rPr>
          <w:rFonts w:ascii="Times New Roman" w:hAnsi="Times New Roman" w:cs="Times New Roman"/>
          <w:szCs w:val="24"/>
        </w:rPr>
      </w:pPr>
    </w:p>
    <w:p w:rsidR="00AE3820" w:rsidRPr="00AE3820" w:rsidRDefault="00AE3820" w:rsidP="00AE3820">
      <w:pPr>
        <w:spacing w:line="360" w:lineRule="auto"/>
        <w:ind w:firstLine="3402"/>
        <w:rPr>
          <w:rFonts w:ascii="Times New Roman" w:hAnsi="Times New Roman" w:cs="Times New Roman"/>
          <w:szCs w:val="24"/>
        </w:rPr>
      </w:pPr>
      <w:r w:rsidRPr="00AE3820">
        <w:rPr>
          <w:rFonts w:ascii="Times New Roman" w:hAnsi="Times New Roman" w:cs="Times New Roman"/>
          <w:b/>
          <w:bCs/>
          <w:szCs w:val="24"/>
        </w:rPr>
        <w:t>Art. 49 -</w:t>
      </w:r>
      <w:r w:rsidRPr="00AE3820">
        <w:rPr>
          <w:rFonts w:ascii="Times New Roman" w:hAnsi="Times New Roman" w:cs="Times New Roman"/>
          <w:szCs w:val="24"/>
        </w:rPr>
        <w:t xml:space="preserve"> Revogam-se as disposições em contrário.</w:t>
      </w:r>
    </w:p>
    <w:p w:rsidR="00AE3820" w:rsidRPr="00AE3820" w:rsidRDefault="00AE3820" w:rsidP="00AE3820">
      <w:pPr>
        <w:spacing w:line="360" w:lineRule="auto"/>
        <w:ind w:left="708" w:firstLine="708"/>
        <w:rPr>
          <w:rFonts w:ascii="Times New Roman" w:hAnsi="Times New Roman" w:cs="Times New Roman"/>
          <w:szCs w:val="24"/>
        </w:rPr>
      </w:pPr>
    </w:p>
    <w:p w:rsidR="00AE3820" w:rsidRPr="00AE3820" w:rsidRDefault="00AE3820" w:rsidP="00AE3820">
      <w:pPr>
        <w:spacing w:line="360" w:lineRule="auto"/>
        <w:ind w:left="708" w:firstLine="708"/>
        <w:rPr>
          <w:rFonts w:ascii="Times New Roman" w:hAnsi="Times New Roman" w:cs="Times New Roman"/>
          <w:szCs w:val="24"/>
        </w:rPr>
      </w:pPr>
    </w:p>
    <w:p w:rsidR="00AE3820" w:rsidRPr="00AE3820" w:rsidRDefault="00AE3820" w:rsidP="00AE3820">
      <w:pPr>
        <w:tabs>
          <w:tab w:val="left" w:pos="1620"/>
        </w:tabs>
        <w:jc w:val="center"/>
        <w:rPr>
          <w:rFonts w:ascii="Times New Roman" w:hAnsi="Times New Roman" w:cs="Times New Roman"/>
          <w:b/>
          <w:bCs/>
          <w:szCs w:val="24"/>
        </w:rPr>
      </w:pPr>
      <w:r w:rsidRPr="00AE3820">
        <w:rPr>
          <w:rFonts w:ascii="Times New Roman" w:hAnsi="Times New Roman" w:cs="Times New Roman"/>
          <w:b/>
          <w:bCs/>
          <w:szCs w:val="24"/>
        </w:rPr>
        <w:t>GABINETE DO PREFEITO</w:t>
      </w:r>
    </w:p>
    <w:p w:rsidR="00AE3820" w:rsidRPr="00AE3820" w:rsidRDefault="00AE3820" w:rsidP="00AE3820">
      <w:pPr>
        <w:tabs>
          <w:tab w:val="left" w:pos="1620"/>
        </w:tabs>
        <w:jc w:val="center"/>
        <w:rPr>
          <w:rFonts w:ascii="Times New Roman" w:hAnsi="Times New Roman" w:cs="Times New Roman"/>
          <w:b/>
          <w:bCs/>
          <w:szCs w:val="24"/>
        </w:rPr>
      </w:pPr>
      <w:r w:rsidRPr="00AE3820">
        <w:rPr>
          <w:rFonts w:ascii="Times New Roman" w:hAnsi="Times New Roman" w:cs="Times New Roman"/>
          <w:b/>
          <w:bCs/>
          <w:szCs w:val="24"/>
        </w:rPr>
        <w:t xml:space="preserve">   EM: 27 DE DEZEMBRO DE 2019</w:t>
      </w:r>
    </w:p>
    <w:p w:rsidR="00AE3820" w:rsidRPr="00AE3820" w:rsidRDefault="00AE3820" w:rsidP="00AE3820">
      <w:pPr>
        <w:tabs>
          <w:tab w:val="left" w:pos="1620"/>
        </w:tabs>
        <w:rPr>
          <w:rFonts w:ascii="Times New Roman" w:hAnsi="Times New Roman" w:cs="Times New Roman"/>
          <w:b/>
          <w:bCs/>
          <w:szCs w:val="24"/>
        </w:rPr>
      </w:pPr>
    </w:p>
    <w:p w:rsidR="00AE3820" w:rsidRPr="00AE3820" w:rsidRDefault="00AE3820" w:rsidP="00AE3820">
      <w:pPr>
        <w:tabs>
          <w:tab w:val="left" w:pos="1620"/>
        </w:tabs>
        <w:rPr>
          <w:rFonts w:ascii="Times New Roman" w:hAnsi="Times New Roman" w:cs="Times New Roman"/>
          <w:b/>
          <w:bCs/>
          <w:szCs w:val="24"/>
        </w:rPr>
      </w:pPr>
    </w:p>
    <w:p w:rsidR="00AE3820" w:rsidRPr="00AE3820" w:rsidRDefault="00AE3820" w:rsidP="00AE3820">
      <w:pPr>
        <w:tabs>
          <w:tab w:val="left" w:pos="1620"/>
        </w:tabs>
        <w:jc w:val="center"/>
        <w:rPr>
          <w:rFonts w:ascii="Times New Roman" w:hAnsi="Times New Roman" w:cs="Times New Roman"/>
          <w:b/>
          <w:bCs/>
          <w:szCs w:val="24"/>
        </w:rPr>
      </w:pPr>
    </w:p>
    <w:p w:rsidR="00AE3820" w:rsidRPr="00AE3820" w:rsidRDefault="00AE3820" w:rsidP="00AE3820">
      <w:pPr>
        <w:pStyle w:val="Ttulo1"/>
        <w:tabs>
          <w:tab w:val="left" w:pos="1620"/>
        </w:tabs>
        <w:rPr>
          <w:sz w:val="24"/>
          <w:szCs w:val="24"/>
        </w:rPr>
      </w:pPr>
      <w:r w:rsidRPr="00AE3820">
        <w:rPr>
          <w:sz w:val="24"/>
          <w:szCs w:val="24"/>
        </w:rPr>
        <w:t>MIGUEL JOSÉ BRUNETTA</w:t>
      </w:r>
    </w:p>
    <w:p w:rsidR="00AE3820" w:rsidRPr="00AE3820" w:rsidRDefault="00AE3820" w:rsidP="00AE3820">
      <w:pPr>
        <w:tabs>
          <w:tab w:val="left" w:pos="1620"/>
        </w:tabs>
        <w:jc w:val="center"/>
        <w:rPr>
          <w:rFonts w:ascii="Times New Roman" w:hAnsi="Times New Roman" w:cs="Times New Roman"/>
          <w:szCs w:val="24"/>
        </w:rPr>
      </w:pPr>
      <w:r w:rsidRPr="00AE3820">
        <w:rPr>
          <w:rFonts w:ascii="Times New Roman" w:hAnsi="Times New Roman" w:cs="Times New Roman"/>
          <w:b/>
          <w:bCs/>
          <w:szCs w:val="24"/>
        </w:rPr>
        <w:t>PREFEITO MUNICIPAL</w:t>
      </w:r>
    </w:p>
    <w:p w:rsidR="00AE3820" w:rsidRPr="00AE3820" w:rsidRDefault="00AE3820" w:rsidP="00AE3820">
      <w:pPr>
        <w:spacing w:line="360" w:lineRule="auto"/>
        <w:rPr>
          <w:rFonts w:ascii="Times New Roman" w:hAnsi="Times New Roman" w:cs="Times New Roman"/>
          <w:szCs w:val="24"/>
        </w:rPr>
      </w:pPr>
    </w:p>
    <w:p w:rsidR="00B74C36" w:rsidRPr="00AE3820" w:rsidRDefault="00B74C36" w:rsidP="002D2636">
      <w:pPr>
        <w:spacing w:line="240" w:lineRule="auto"/>
        <w:ind w:left="3969"/>
        <w:rPr>
          <w:rFonts w:ascii="Times New Roman" w:hAnsi="Times New Roman" w:cs="Times New Roman"/>
          <w:szCs w:val="24"/>
        </w:rPr>
      </w:pPr>
    </w:p>
    <w:sectPr w:rsidR="00B74C36" w:rsidRPr="00AE3820" w:rsidSect="00B74C36">
      <w:pgSz w:w="12240" w:h="15840"/>
      <w:pgMar w:top="2835" w:right="1134" w:bottom="1418"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24C" w:rsidRDefault="008A324C" w:rsidP="003107B6">
      <w:pPr>
        <w:spacing w:after="0" w:line="240" w:lineRule="auto"/>
      </w:pPr>
      <w:r>
        <w:separator/>
      </w:r>
    </w:p>
  </w:endnote>
  <w:endnote w:type="continuationSeparator" w:id="1">
    <w:p w:rsidR="008A324C" w:rsidRDefault="008A324C" w:rsidP="00310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altName w:val="Segoe UI"/>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24C" w:rsidRDefault="008A324C" w:rsidP="003107B6">
      <w:pPr>
        <w:spacing w:after="0" w:line="240" w:lineRule="auto"/>
      </w:pPr>
      <w:r>
        <w:separator/>
      </w:r>
    </w:p>
  </w:footnote>
  <w:footnote w:type="continuationSeparator" w:id="1">
    <w:p w:rsidR="008A324C" w:rsidRDefault="008A324C" w:rsidP="003107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800E8"/>
    <w:multiLevelType w:val="hybridMultilevel"/>
    <w:tmpl w:val="92E8461E"/>
    <w:lvl w:ilvl="0" w:tplc="BF78103E">
      <w:start w:val="1"/>
      <w:numFmt w:val="upperRoman"/>
      <w:lvlText w:val="%1-"/>
      <w:lvlJc w:val="left"/>
      <w:pPr>
        <w:tabs>
          <w:tab w:val="num" w:pos="3180"/>
        </w:tabs>
        <w:ind w:left="3180" w:hanging="174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abstractNum w:abstractNumId="1">
    <w:nsid w:val="193E0770"/>
    <w:multiLevelType w:val="hybridMultilevel"/>
    <w:tmpl w:val="CA9407FE"/>
    <w:lvl w:ilvl="0" w:tplc="58E241DA">
      <w:start w:val="1"/>
      <w:numFmt w:val="lowerLetter"/>
      <w:lvlText w:val="%1)"/>
      <w:lvlJc w:val="left"/>
      <w:pPr>
        <w:ind w:left="4329" w:hanging="360"/>
      </w:pPr>
      <w:rPr>
        <w:rFonts w:hint="default"/>
        <w:b/>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2">
    <w:nsid w:val="6EF2163B"/>
    <w:multiLevelType w:val="hybridMultilevel"/>
    <w:tmpl w:val="30C66748"/>
    <w:lvl w:ilvl="0" w:tplc="62D61036">
      <w:start w:val="1"/>
      <w:numFmt w:val="upperRoman"/>
      <w:lvlText w:val="%1-"/>
      <w:lvlJc w:val="left"/>
      <w:pPr>
        <w:tabs>
          <w:tab w:val="num" w:pos="2160"/>
        </w:tabs>
        <w:ind w:left="2160" w:hanging="720"/>
      </w:pPr>
      <w:rPr>
        <w:rFonts w:hint="default"/>
      </w:rPr>
    </w:lvl>
    <w:lvl w:ilvl="1" w:tplc="04160019" w:tentative="1">
      <w:start w:val="1"/>
      <w:numFmt w:val="lowerLetter"/>
      <w:lvlText w:val="%2."/>
      <w:lvlJc w:val="left"/>
      <w:pPr>
        <w:tabs>
          <w:tab w:val="num" w:pos="2520"/>
        </w:tabs>
        <w:ind w:left="2520" w:hanging="360"/>
      </w:pPr>
    </w:lvl>
    <w:lvl w:ilvl="2" w:tplc="0416001B" w:tentative="1">
      <w:start w:val="1"/>
      <w:numFmt w:val="lowerRoman"/>
      <w:lvlText w:val="%3."/>
      <w:lvlJc w:val="right"/>
      <w:pPr>
        <w:tabs>
          <w:tab w:val="num" w:pos="3240"/>
        </w:tabs>
        <w:ind w:left="3240" w:hanging="180"/>
      </w:pPr>
    </w:lvl>
    <w:lvl w:ilvl="3" w:tplc="0416000F" w:tentative="1">
      <w:start w:val="1"/>
      <w:numFmt w:val="decimal"/>
      <w:lvlText w:val="%4."/>
      <w:lvlJc w:val="left"/>
      <w:pPr>
        <w:tabs>
          <w:tab w:val="num" w:pos="3960"/>
        </w:tabs>
        <w:ind w:left="3960" w:hanging="360"/>
      </w:pPr>
    </w:lvl>
    <w:lvl w:ilvl="4" w:tplc="04160019" w:tentative="1">
      <w:start w:val="1"/>
      <w:numFmt w:val="lowerLetter"/>
      <w:lvlText w:val="%5."/>
      <w:lvlJc w:val="left"/>
      <w:pPr>
        <w:tabs>
          <w:tab w:val="num" w:pos="4680"/>
        </w:tabs>
        <w:ind w:left="4680" w:hanging="360"/>
      </w:pPr>
    </w:lvl>
    <w:lvl w:ilvl="5" w:tplc="0416001B" w:tentative="1">
      <w:start w:val="1"/>
      <w:numFmt w:val="lowerRoman"/>
      <w:lvlText w:val="%6."/>
      <w:lvlJc w:val="right"/>
      <w:pPr>
        <w:tabs>
          <w:tab w:val="num" w:pos="5400"/>
        </w:tabs>
        <w:ind w:left="5400" w:hanging="180"/>
      </w:pPr>
    </w:lvl>
    <w:lvl w:ilvl="6" w:tplc="0416000F" w:tentative="1">
      <w:start w:val="1"/>
      <w:numFmt w:val="decimal"/>
      <w:lvlText w:val="%7."/>
      <w:lvlJc w:val="left"/>
      <w:pPr>
        <w:tabs>
          <w:tab w:val="num" w:pos="6120"/>
        </w:tabs>
        <w:ind w:left="6120" w:hanging="360"/>
      </w:pPr>
    </w:lvl>
    <w:lvl w:ilvl="7" w:tplc="04160019" w:tentative="1">
      <w:start w:val="1"/>
      <w:numFmt w:val="lowerLetter"/>
      <w:lvlText w:val="%8."/>
      <w:lvlJc w:val="left"/>
      <w:pPr>
        <w:tabs>
          <w:tab w:val="num" w:pos="6840"/>
        </w:tabs>
        <w:ind w:left="6840" w:hanging="360"/>
      </w:pPr>
    </w:lvl>
    <w:lvl w:ilvl="8" w:tplc="0416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478ED"/>
    <w:rsid w:val="0009137E"/>
    <w:rsid w:val="00155E52"/>
    <w:rsid w:val="001B4631"/>
    <w:rsid w:val="001E05DF"/>
    <w:rsid w:val="001E5096"/>
    <w:rsid w:val="00213A3A"/>
    <w:rsid w:val="00230A5B"/>
    <w:rsid w:val="002D2636"/>
    <w:rsid w:val="002E0EDE"/>
    <w:rsid w:val="003107B6"/>
    <w:rsid w:val="00344468"/>
    <w:rsid w:val="00347697"/>
    <w:rsid w:val="00387B22"/>
    <w:rsid w:val="003C2A7F"/>
    <w:rsid w:val="004959CF"/>
    <w:rsid w:val="004F6E83"/>
    <w:rsid w:val="005012E8"/>
    <w:rsid w:val="00532EA7"/>
    <w:rsid w:val="005478ED"/>
    <w:rsid w:val="00570D0C"/>
    <w:rsid w:val="00595674"/>
    <w:rsid w:val="00672D6D"/>
    <w:rsid w:val="00685334"/>
    <w:rsid w:val="006956F3"/>
    <w:rsid w:val="00734AA5"/>
    <w:rsid w:val="007925D0"/>
    <w:rsid w:val="007A7693"/>
    <w:rsid w:val="00875E67"/>
    <w:rsid w:val="008A30E5"/>
    <w:rsid w:val="008A324C"/>
    <w:rsid w:val="0096160F"/>
    <w:rsid w:val="00972C9A"/>
    <w:rsid w:val="00A9536A"/>
    <w:rsid w:val="00AE3820"/>
    <w:rsid w:val="00AF7C72"/>
    <w:rsid w:val="00B317FF"/>
    <w:rsid w:val="00B74C36"/>
    <w:rsid w:val="00B841A4"/>
    <w:rsid w:val="00BF692D"/>
    <w:rsid w:val="00C53FEC"/>
    <w:rsid w:val="00CA24E3"/>
    <w:rsid w:val="00D0317E"/>
    <w:rsid w:val="00D467DD"/>
    <w:rsid w:val="00D807C4"/>
    <w:rsid w:val="00D9030B"/>
    <w:rsid w:val="00DD30D5"/>
    <w:rsid w:val="00F23DC6"/>
    <w:rsid w:val="00F55E01"/>
    <w:rsid w:val="00FA0970"/>
    <w:rsid w:val="00FC5B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F3"/>
    <w:pPr>
      <w:spacing w:after="3" w:line="279" w:lineRule="auto"/>
      <w:ind w:left="27" w:hanging="10"/>
      <w:jc w:val="both"/>
    </w:pPr>
    <w:rPr>
      <w:rFonts w:ascii="Tahoma" w:eastAsia="Tahoma" w:hAnsi="Tahoma" w:cs="Tahoma"/>
      <w:color w:val="000000"/>
      <w:sz w:val="24"/>
      <w:szCs w:val="22"/>
      <w:lang w:val="pt-PT" w:eastAsia="pt-PT"/>
    </w:rPr>
  </w:style>
  <w:style w:type="paragraph" w:styleId="Ttulo1">
    <w:name w:val="heading 1"/>
    <w:basedOn w:val="Normal"/>
    <w:next w:val="Normal"/>
    <w:link w:val="Ttulo1Char"/>
    <w:qFormat/>
    <w:rsid w:val="00AE3820"/>
    <w:pPr>
      <w:keepNext/>
      <w:spacing w:after="0" w:line="240" w:lineRule="auto"/>
      <w:ind w:left="0" w:firstLine="0"/>
      <w:jc w:val="center"/>
      <w:outlineLvl w:val="0"/>
    </w:pPr>
    <w:rPr>
      <w:rFonts w:ascii="Times New Roman" w:eastAsia="Times New Roman" w:hAnsi="Times New Roman" w:cs="Times New Roman"/>
      <w:b/>
      <w:color w:val="auto"/>
      <w:sz w:val="22"/>
      <w:szCs w:val="20"/>
      <w:lang w:val="pt-BR" w:eastAsia="pt-BR"/>
    </w:rPr>
  </w:style>
  <w:style w:type="paragraph" w:styleId="Ttulo2">
    <w:name w:val="heading 2"/>
    <w:basedOn w:val="Normal"/>
    <w:next w:val="Normal"/>
    <w:link w:val="Ttulo2Char"/>
    <w:qFormat/>
    <w:rsid w:val="00AE3820"/>
    <w:pPr>
      <w:keepNext/>
      <w:spacing w:after="0" w:line="240" w:lineRule="auto"/>
      <w:ind w:left="0" w:firstLine="0"/>
      <w:jc w:val="center"/>
      <w:outlineLvl w:val="1"/>
    </w:pPr>
    <w:rPr>
      <w:rFonts w:ascii="Times New Roman" w:eastAsia="Times New Roman" w:hAnsi="Times New Roman" w:cs="Times New Roman"/>
      <w:b/>
      <w:color w:val="auto"/>
      <w:szCs w:val="20"/>
      <w:lang w:val="pt-BR" w:eastAsia="pt-BR"/>
    </w:rPr>
  </w:style>
  <w:style w:type="paragraph" w:styleId="Ttulo9">
    <w:name w:val="heading 9"/>
    <w:basedOn w:val="Normal"/>
    <w:next w:val="Normal"/>
    <w:link w:val="Ttulo9Char"/>
    <w:qFormat/>
    <w:rsid w:val="00AE3820"/>
    <w:pPr>
      <w:keepNext/>
      <w:spacing w:after="0" w:line="360" w:lineRule="auto"/>
      <w:ind w:left="0" w:firstLine="0"/>
      <w:jc w:val="center"/>
      <w:outlineLvl w:val="8"/>
    </w:pPr>
    <w:rPr>
      <w:rFonts w:ascii="Century Gothic" w:eastAsia="Times New Roman" w:hAnsi="Century Gothic" w:cs="Arial"/>
      <w:b/>
      <w:color w:val="auto"/>
      <w:sz w:val="28"/>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D0317E"/>
    <w:pPr>
      <w:spacing w:after="120" w:line="240" w:lineRule="auto"/>
      <w:ind w:left="283" w:firstLine="0"/>
      <w:jc w:val="left"/>
    </w:pPr>
    <w:rPr>
      <w:rFonts w:ascii="Times New Roman" w:eastAsia="Times New Roman" w:hAnsi="Times New Roman" w:cs="Times New Roman"/>
      <w:color w:val="auto"/>
      <w:sz w:val="16"/>
      <w:szCs w:val="16"/>
      <w:lang w:val="pt-BR" w:eastAsia="pt-BR"/>
    </w:rPr>
  </w:style>
  <w:style w:type="character" w:customStyle="1" w:styleId="Recuodecorpodetexto3Char">
    <w:name w:val="Recuo de corpo de texto 3 Char"/>
    <w:basedOn w:val="Fontepargpadro"/>
    <w:link w:val="Recuodecorpodetexto3"/>
    <w:rsid w:val="00D0317E"/>
    <w:rPr>
      <w:rFonts w:ascii="Times New Roman" w:hAnsi="Times New Roman"/>
      <w:sz w:val="16"/>
      <w:szCs w:val="16"/>
    </w:rPr>
  </w:style>
  <w:style w:type="paragraph" w:styleId="Cabealho">
    <w:name w:val="header"/>
    <w:basedOn w:val="Normal"/>
    <w:link w:val="CabealhoChar"/>
    <w:uiPriority w:val="99"/>
    <w:unhideWhenUsed/>
    <w:rsid w:val="003107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07B6"/>
    <w:rPr>
      <w:rFonts w:ascii="Tahoma" w:eastAsia="Tahoma" w:hAnsi="Tahoma" w:cs="Tahoma"/>
      <w:color w:val="000000"/>
      <w:sz w:val="24"/>
      <w:szCs w:val="22"/>
      <w:lang w:val="pt-PT" w:eastAsia="pt-PT"/>
    </w:rPr>
  </w:style>
  <w:style w:type="paragraph" w:styleId="Rodap">
    <w:name w:val="footer"/>
    <w:basedOn w:val="Normal"/>
    <w:link w:val="RodapChar"/>
    <w:uiPriority w:val="99"/>
    <w:unhideWhenUsed/>
    <w:rsid w:val="003107B6"/>
    <w:pPr>
      <w:tabs>
        <w:tab w:val="center" w:pos="4252"/>
        <w:tab w:val="right" w:pos="8504"/>
      </w:tabs>
      <w:spacing w:after="0" w:line="240" w:lineRule="auto"/>
    </w:pPr>
  </w:style>
  <w:style w:type="character" w:customStyle="1" w:styleId="RodapChar">
    <w:name w:val="Rodapé Char"/>
    <w:basedOn w:val="Fontepargpadro"/>
    <w:link w:val="Rodap"/>
    <w:uiPriority w:val="99"/>
    <w:rsid w:val="003107B6"/>
    <w:rPr>
      <w:rFonts w:ascii="Tahoma" w:eastAsia="Tahoma" w:hAnsi="Tahoma" w:cs="Tahoma"/>
      <w:color w:val="000000"/>
      <w:sz w:val="24"/>
      <w:szCs w:val="22"/>
      <w:lang w:val="pt-PT" w:eastAsia="pt-PT"/>
    </w:rPr>
  </w:style>
  <w:style w:type="paragraph" w:styleId="Textodebalo">
    <w:name w:val="Balloon Text"/>
    <w:basedOn w:val="Normal"/>
    <w:link w:val="TextodebaloChar"/>
    <w:uiPriority w:val="99"/>
    <w:semiHidden/>
    <w:unhideWhenUsed/>
    <w:rsid w:val="006853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85334"/>
    <w:rPr>
      <w:rFonts w:ascii="Segoe UI" w:eastAsia="Tahoma" w:hAnsi="Segoe UI" w:cs="Segoe UI"/>
      <w:color w:val="000000"/>
      <w:sz w:val="18"/>
      <w:szCs w:val="18"/>
      <w:lang w:val="pt-PT" w:eastAsia="pt-PT"/>
    </w:rPr>
  </w:style>
  <w:style w:type="paragraph" w:styleId="PargrafodaLista">
    <w:name w:val="List Paragraph"/>
    <w:basedOn w:val="Normal"/>
    <w:uiPriority w:val="34"/>
    <w:qFormat/>
    <w:rsid w:val="002D2636"/>
    <w:pPr>
      <w:ind w:left="720"/>
      <w:contextualSpacing/>
    </w:pPr>
  </w:style>
  <w:style w:type="paragraph" w:styleId="Recuodecorpodetexto">
    <w:name w:val="Body Text Indent"/>
    <w:basedOn w:val="Normal"/>
    <w:link w:val="RecuodecorpodetextoChar"/>
    <w:uiPriority w:val="99"/>
    <w:semiHidden/>
    <w:unhideWhenUsed/>
    <w:rsid w:val="00AE3820"/>
    <w:pPr>
      <w:spacing w:after="120"/>
      <w:ind w:left="283"/>
    </w:pPr>
  </w:style>
  <w:style w:type="character" w:customStyle="1" w:styleId="RecuodecorpodetextoChar">
    <w:name w:val="Recuo de corpo de texto Char"/>
    <w:basedOn w:val="Fontepargpadro"/>
    <w:link w:val="Recuodecorpodetexto"/>
    <w:uiPriority w:val="99"/>
    <w:semiHidden/>
    <w:rsid w:val="00AE3820"/>
    <w:rPr>
      <w:rFonts w:ascii="Tahoma" w:eastAsia="Tahoma" w:hAnsi="Tahoma" w:cs="Tahoma"/>
      <w:color w:val="000000"/>
      <w:sz w:val="24"/>
      <w:szCs w:val="22"/>
      <w:lang w:val="pt-PT" w:eastAsia="pt-PT"/>
    </w:rPr>
  </w:style>
  <w:style w:type="paragraph" w:styleId="Corpodetexto2">
    <w:name w:val="Body Text 2"/>
    <w:basedOn w:val="Normal"/>
    <w:link w:val="Corpodetexto2Char"/>
    <w:uiPriority w:val="99"/>
    <w:semiHidden/>
    <w:unhideWhenUsed/>
    <w:rsid w:val="00AE3820"/>
    <w:pPr>
      <w:spacing w:after="120" w:line="480" w:lineRule="auto"/>
    </w:pPr>
  </w:style>
  <w:style w:type="character" w:customStyle="1" w:styleId="Corpodetexto2Char">
    <w:name w:val="Corpo de texto 2 Char"/>
    <w:basedOn w:val="Fontepargpadro"/>
    <w:link w:val="Corpodetexto2"/>
    <w:uiPriority w:val="99"/>
    <w:semiHidden/>
    <w:rsid w:val="00AE3820"/>
    <w:rPr>
      <w:rFonts w:ascii="Tahoma" w:eastAsia="Tahoma" w:hAnsi="Tahoma" w:cs="Tahoma"/>
      <w:color w:val="000000"/>
      <w:sz w:val="24"/>
      <w:szCs w:val="22"/>
      <w:lang w:val="pt-PT" w:eastAsia="pt-PT"/>
    </w:rPr>
  </w:style>
  <w:style w:type="paragraph" w:styleId="Corpodetexto3">
    <w:name w:val="Body Text 3"/>
    <w:basedOn w:val="Normal"/>
    <w:link w:val="Corpodetexto3Char"/>
    <w:uiPriority w:val="99"/>
    <w:semiHidden/>
    <w:unhideWhenUsed/>
    <w:rsid w:val="00AE3820"/>
    <w:pPr>
      <w:spacing w:after="120"/>
    </w:pPr>
    <w:rPr>
      <w:sz w:val="16"/>
      <w:szCs w:val="16"/>
    </w:rPr>
  </w:style>
  <w:style w:type="character" w:customStyle="1" w:styleId="Corpodetexto3Char">
    <w:name w:val="Corpo de texto 3 Char"/>
    <w:basedOn w:val="Fontepargpadro"/>
    <w:link w:val="Corpodetexto3"/>
    <w:uiPriority w:val="99"/>
    <w:semiHidden/>
    <w:rsid w:val="00AE3820"/>
    <w:rPr>
      <w:rFonts w:ascii="Tahoma" w:eastAsia="Tahoma" w:hAnsi="Tahoma" w:cs="Tahoma"/>
      <w:color w:val="000000"/>
      <w:sz w:val="16"/>
      <w:szCs w:val="16"/>
      <w:lang w:val="pt-PT" w:eastAsia="pt-PT"/>
    </w:rPr>
  </w:style>
  <w:style w:type="paragraph" w:styleId="Corpodetexto">
    <w:name w:val="Body Text"/>
    <w:basedOn w:val="Normal"/>
    <w:link w:val="CorpodetextoChar"/>
    <w:uiPriority w:val="99"/>
    <w:semiHidden/>
    <w:unhideWhenUsed/>
    <w:rsid w:val="00AE3820"/>
    <w:pPr>
      <w:spacing w:after="120"/>
    </w:pPr>
  </w:style>
  <w:style w:type="character" w:customStyle="1" w:styleId="CorpodetextoChar">
    <w:name w:val="Corpo de texto Char"/>
    <w:basedOn w:val="Fontepargpadro"/>
    <w:link w:val="Corpodetexto"/>
    <w:uiPriority w:val="99"/>
    <w:semiHidden/>
    <w:rsid w:val="00AE3820"/>
    <w:rPr>
      <w:rFonts w:ascii="Tahoma" w:eastAsia="Tahoma" w:hAnsi="Tahoma" w:cs="Tahoma"/>
      <w:color w:val="000000"/>
      <w:sz w:val="24"/>
      <w:szCs w:val="22"/>
      <w:lang w:val="pt-PT" w:eastAsia="pt-PT"/>
    </w:rPr>
  </w:style>
  <w:style w:type="character" w:customStyle="1" w:styleId="Ttulo1Char">
    <w:name w:val="Título 1 Char"/>
    <w:basedOn w:val="Fontepargpadro"/>
    <w:link w:val="Ttulo1"/>
    <w:rsid w:val="00AE3820"/>
    <w:rPr>
      <w:rFonts w:ascii="Times New Roman" w:hAnsi="Times New Roman"/>
      <w:b/>
      <w:sz w:val="22"/>
    </w:rPr>
  </w:style>
  <w:style w:type="character" w:customStyle="1" w:styleId="Ttulo2Char">
    <w:name w:val="Título 2 Char"/>
    <w:basedOn w:val="Fontepargpadro"/>
    <w:link w:val="Ttulo2"/>
    <w:rsid w:val="00AE3820"/>
    <w:rPr>
      <w:rFonts w:ascii="Times New Roman" w:hAnsi="Times New Roman"/>
      <w:b/>
      <w:sz w:val="24"/>
    </w:rPr>
  </w:style>
  <w:style w:type="character" w:customStyle="1" w:styleId="Ttulo9Char">
    <w:name w:val="Título 9 Char"/>
    <w:basedOn w:val="Fontepargpadro"/>
    <w:link w:val="Ttulo9"/>
    <w:rsid w:val="00AE3820"/>
    <w:rPr>
      <w:rFonts w:ascii="Century Gothic" w:hAnsi="Century Gothic" w:cs="Arial"/>
      <w:b/>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5236</Words>
  <Characters>28275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MODELO 03:</vt:lpstr>
    </vt:vector>
  </TitlesOfParts>
  <Company/>
  <LinksUpToDate>false</LinksUpToDate>
  <CharactersWithSpaces>33445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03:</dc:title>
  <dc:creator>Detran-MT</dc:creator>
  <cp:lastModifiedBy>Usuario</cp:lastModifiedBy>
  <cp:revision>3</cp:revision>
  <cp:lastPrinted>2019-10-17T14:17:00Z</cp:lastPrinted>
  <dcterms:created xsi:type="dcterms:W3CDTF">2019-12-27T16:29:00Z</dcterms:created>
  <dcterms:modified xsi:type="dcterms:W3CDTF">2019-12-27T16:35:00Z</dcterms:modified>
</cp:coreProperties>
</file>